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177 vom 1. Dezember 2025</w:t>
      </w:r>
    </w:p>
    <w:p>
      <w:r>
        <w:t>FR Kantonsgericht, 2025-12-01, FR</w:t>
      </w:r>
    </w:p>
    <w:p>
      <w:r>
        <w:rPr>
          <w:b/>
        </w:rPr>
        <w:t xml:space="preserve">Quelle: </w:t>
      </w:r>
      <w:r>
        <w:t>https://mcp.opencaselaw.ch/entscheid/fr_gerichte_501_2024_177</w:t>
      </w:r>
    </w:p>
    <w:p>
      <w:r>
        <w:t>FR: FR_GERICHTE 501 2024 177 du 1 décembre 2025</w:t>
      </w:r>
    </w:p>
    <w:p>
      <w:r>
        <w:t>IT: FR_GERICHTE 501 2024 177 del 1 dicembre 2025</w:t>
      </w:r>
    </w:p>
    <w:p>
      <w:pPr>
        <w:pStyle w:val="Heading2"/>
      </w:pPr>
      <w:r>
        <w:t>Regeste</w:t>
      </w:r>
    </w:p>
    <w:p>
      <w:r>
        <w:t>Arrêt de la Cour d'appel pénal du Tribunal cantonal | Strafrecht</w:t>
      </w:r>
    </w:p>
    <w:p>
      <w:pPr>
        <w:pStyle w:val="Heading2"/>
      </w:pPr>
      <w:r>
        <w:t>Erwägungen</w:t>
      </w:r>
    </w:p>
    <w:p>
      <w:r>
        <w:rPr>
          <w:b/>
        </w:rPr>
        <w:t>E. 5</w:t>
      </w:r>
    </w:p>
    <w:p>
      <w:r>
        <w:t>septembre 2024 est entièrement confirmé dans la teneur suivante : 1. A.________ est reconnue coupable de violation grave des règles de la circulation routière. 2. En application des art. 90 al. 2 en relation avec 33 al. 1 et 2 LCR, 34, 42, 44, 47, 105 al. 1 et 106 CP, A.________ est condamnée : - à une peine pécuniaire de 20 jours-amende, avec sursis pendant 2 ans ; le montant du jour-amende est fixé à CHF 30.- ; - au paiement d'une amende de CHF 300.-. Sur demande écrite adressée au Tribunal de l'arrondissement de la Broye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3. En cas de non-paiement de l'amende dans le délai qui sera fixé dans la liste de frais et si celle-ci est inexécutable par la voie de la poursuite pour dettes, elle fera place à 3 jours de peine privative de liberté (art. 105 al. 1, 106 al. 2 CP). 4. En application des art. 421 et 426 CPP, les frais de procédure sont mis à la charge de A.________. Ils sont fixés à CHF 460.- pour l'émolument de justice (Ministère public : CHF 210.- ; Juge de police : CHF 250.-) et à CHF 99.- pour les débours (Ministère public : CHF 24.- ; Juge de police : CHF 75.- ), sous réserve d’éventuelles opérations ou factures complémentaires, soit CHF 559.- au total. En cas de demande de rédaction, l’émolument de justice sera porté à CHF 560.-. II. Les frais de la procédure d’appel, arrêtés à CHF 1'100.- (émolument : CHF 1'000.-;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8 de 8 Fribourg, le 1er décembre 2025/cfa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