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127 vom 24. März 2025</w:t>
      </w:r>
    </w:p>
    <w:p>
      <w:r>
        <w:t>FR Kantonsgericht, 2025-03-24, FR</w:t>
      </w:r>
    </w:p>
    <w:p>
      <w:r>
        <w:rPr>
          <w:b/>
        </w:rPr>
        <w:t xml:space="preserve">Quelle: </w:t>
      </w:r>
      <w:r>
        <w:t>https://mcp.opencaselaw.ch/entscheid/fr_gerichte_501_2024_127</w:t>
      </w:r>
    </w:p>
    <w:p>
      <w:r>
        <w:t>FR: FR_GERICHTE 501 2024 127 du 24 mars 2025</w:t>
      </w:r>
    </w:p>
    <w:p>
      <w:r>
        <w:t>IT: FR_GERICHTE 501 2024 127 del 24 marzo 2025</w:t>
      </w:r>
    </w:p>
    <w:p>
      <w:pPr>
        <w:pStyle w:val="Heading2"/>
      </w:pPr>
      <w:r>
        <w:t>Regeste</w:t>
      </w:r>
    </w:p>
    <w:p>
      <w:r>
        <w:t>Arrêt de la Cour d'appel pénal du Tribunal cantonal | Strafrecht</w:t>
      </w:r>
    </w:p>
    <w:p>
      <w:pPr>
        <w:pStyle w:val="Heading2"/>
      </w:pPr>
      <w:r>
        <w:t>Erwägungen</w:t>
      </w:r>
    </w:p>
    <w:p>
      <w:r>
        <w:rPr>
          <w:b/>
        </w:rPr>
        <w:t>E. 1</w:t>
      </w:r>
    </w:p>
    <w:p>
      <w:r>
        <w:t>et 3 let. a CPP). Le dispositif du jugement du 1er mars 2024 a été réputé notifié à l’appelant le 15 mars 2024. Le jugement intégralement rédigé a été notifié à l’appelant le 29 août 2024. La déclaration d’appel a été déposée le 18 septembre 2024, soit dans le délai légal de 20 jours. De plus, l’appelant, prévenu condamné, a qualité pour interjeter appel (art. 104 al. 1 let. a et 382 al. 1 CPP). En l'espèce, l'appel est dirigé contre le jugement dans son ensemble et respecte le prescrit de l'art. 399 al. 3 CPP. Il s'ensuit la recevabilité de l'appel.</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In casu, l'appelant conteste le jugement dans son intégralité, soit sa condamnation pour délit contre la loi fédérale sur les étrangers et l’intégration.</w:t>
      </w:r>
    </w:p>
    <w:p>
      <w:r>
        <w:rPr>
          <w:b/>
        </w:rPr>
        <w:t>E. 1.3</w:t>
      </w:r>
    </w:p>
    <w:p>
      <w:r>
        <w:t>La procédure est en principe orale (art. 405 CPP). Avec l'accord des parties, la direction de la procédure peut en outre ordonner la procédure écrite lorsque l'appel est dirigé́ contre des jugements rendus par un juge unique (art. 406 al. 2 let. b CPP).</w:t>
      </w:r>
    </w:p>
    <w:p>
      <w:r>
        <w:t>Tribunal cantonal TC Page 4 de 8 Attendu que le jugement attaqué a été rendu par un juge unique et que l'appelant et le Ministère public ne s’y sont pas opposé, les conditions d'application de la procédure écrite sont réalisées en l’espèce.</w:t>
      </w:r>
    </w:p>
    <w:p>
      <w:r>
        <w:rPr>
          <w:b/>
        </w:rPr>
        <w:t>E. 2</w:t>
      </w:r>
    </w:p>
    <w:p>
      <w:r>
        <w:t>L’appelant se plaint d’une constatation incomplète et erronée des faits.</w:t>
      </w:r>
    </w:p>
    <w:p>
      <w:r>
        <w:rPr>
          <w:b/>
        </w:rPr>
        <w:t>E. 2.1</w:t>
      </w:r>
    </w:p>
    <w:p>
      <w:r>
        <w:t>L'appel peut être formé pour constatation incomplète ou erronée des faits (art. 398 al. 3 let. b CPP). Il doit permettre un nouvel examen au fond par la juridiction d'appel. Jouissant d'un plein pouvoir de cognition, celle-ci ne doit pas se borner à rechercher les erreurs du juge précédent et à critiquer le jugement de ce dernier. Elle doit prendre sa décision sous sa responsabilité et selon sa libre conviction, qui doit reposer sur le dossier et sa propre administration des preuves (PERRIER DEPEURSINGE, PC CPP annoté, 2020, art. 398 CPP).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 2ème éd. 2019, art. 398 CPP n. 19).</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145 IV 154 consid. 1.1; arrêt 6B_1155/2022 du 21 août 2023 consid. 3.2). Lorsque l'appréciation des preuves et la constatation des faits sont critiquées en référence au principe in dubio pro reo, celui-ci n'a pas de portée plus large que l'interdiction de l'arbitraire (ATF 148 IV 409 consid. 2.2 et les références).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w:t>
      </w:r>
    </w:p>
    <w:p>
      <w:r>
        <w:t>Tribunal cantonal TC Page 5 de 8</w:t>
      </w:r>
    </w:p>
    <w:p>
      <w:r>
        <w:rPr>
          <w:b/>
        </w:rPr>
        <w:t>E. 2.3</w:t>
      </w:r>
    </w:p>
    <w:p>
      <w:r>
        <w:t>En l’espèce, l’appelant conteste avoir employé le ressortissant du Kosovo C.________ alors que l’intéressé était dépourvu d’autorisation de séjour et de travail, durant la période comprise entre le 31 juillet 2017 et le 26 février 2018. Il remet en cause la crédibilité des déclarations du prévenu C.________ et allègue d’une part qu’il n’était pas employeur de ce dernier et d’autre part qu’il ignorait qu’il était dépourvu d’autorisation de séjour et de travail. Ainsi que l’a pertinemment relevé le Juge de police, C.________ a tenu des propos précis, constants et cohérents, tant lors des audiences du Président du Tribunal des prudhommes de la Broye des 13 mai 2019 et 29 janvier 2020 que lors des auditions de confrontation du Ministère public des</w:t>
      </w:r>
    </w:p>
    <w:p>
      <w:r>
        <w:rPr>
          <w:b/>
        </w:rPr>
        <w:t>E. 3</w:t>
      </w:r>
    </w:p>
    <w:p>
      <w:r>
        <w:t>(inchangé)</w:t>
      </w:r>
    </w:p>
    <w:p>
      <w:r>
        <w:rPr>
          <w:b/>
        </w:rPr>
        <w:t>E. 3.1</w:t>
      </w:r>
    </w:p>
    <w:p>
      <w:r>
        <w:t>Vu le sort de l’appel, les frais de la procédure d’appel, arrêtés à CHF 1’100.- (émoluments : CHF 1’000.- ; débours : CHF 100.-) sont mis à la charge de A.________.</w:t>
      </w:r>
    </w:p>
    <w:p>
      <w:r>
        <w:rPr>
          <w:b/>
        </w:rPr>
        <w:t>E. 3.2</w:t>
      </w:r>
    </w:p>
    <w:p>
      <w:r>
        <w:t>Aucune indemnité de partie n’est accordée à la partie qui supporte les frais de procédure (ATF 137 IV 352 cons. 2.4.2). (dispositif en page suivante)</w:t>
      </w:r>
    </w:p>
    <w:p>
      <w:r>
        <w:t>Tribunal cantonal TC Page 7 de 8 la Cour arrête : I. L’appel est rejeté. Partant, le jugement du Juge de police de l’arrondissement de la Broye du 1er mars 2024 est intégralement confirmé dans la teneur suivante : Le Juge de police A. A.________ 1. A.________ est reconnu coupable de délit contre la loi fédérale sur les étrangers et l’intégration (emploi d’un étranger sans autorisation). 2. En application des art. 117 al.1 LEI, 34, 42, 44, 47 et 105 al. 1 et 106 CP, A.________ est condamné : - à une peine pécuniaire de 120 jours-amende, avec sursis pendant 2 ans, le montant du jour-amende étant fixé à CHF 260.- ; - au paiement d’une amende de de CHF 4'000.-. Sur demande écrite adressée au Tribunal d’arrondissement de la Broye dans un délai de 30 jours, A.________ peut demander à remplacer le paiement de l’amende par l’exécution de la peine sous forme de travail d’intérêt général (à savoir 160 heures). Les frais de procédure ne peuvent en revanche pas être remplacés par du travail d’intérêt général. Les modalités d’exécution seront réglées ultérieurement par le Service de l’exécution des sanctions pénales et de la probation.</w:t>
      </w:r>
    </w:p>
    <w:p>
      <w:r>
        <w:rPr>
          <w:b/>
        </w:rPr>
        <w:t>E. 4</w:t>
      </w:r>
    </w:p>
    <w:p>
      <w:r>
        <w:t>En application des art. 421 et 426 CPP, les émoluments sont fixés à CHF 1'350.- (Ministère public : CHF 610.- ; Juge de police : CHF 740.-). Ils sont mis à la charge de A.________, B.________ et C.________ chacun à hauteur d’un tiers. Les débours spécifiques de l’instruction à chaque prévenu sont mis à la charge de chacun d’eux, à savoir un montant de CHF 40.- à charge de A.________, un montant de CHF 40.- à charge de B.________ et un montant de CHF 100.- à charge de C.________. Les débours généraux sont fixés à CHF 120.-. Ils sont mis à la charge de A.________, B.________ et C.________ chacun à hauteur d’un tiers, sous réserve d’éventuelles opérations ou factures complémentaires. II. Les frais de la procédure d’appel, arrêtés à CHF 1’100.- (émoluments : CHF 1’000.- ; débours : CHF 100.-) sont mis à la charge de A.________. III. Aucune indemnité de partie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90ss de la loi sur le Tribunal fédéral du 17 juin 2005 (LTF). L’acte de recours motivé doit être adressé au Tribunal fédéral, 1000 Lausanne 14. Fribourg, le 24 mars 2025/mri Le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