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88 vom 27. Mai 2024</w:t>
      </w:r>
    </w:p>
    <w:p>
      <w:r>
        <w:t>FR Kantonsgericht, 2024-05-27, FR</w:t>
      </w:r>
    </w:p>
    <w:p>
      <w:r>
        <w:rPr>
          <w:b/>
        </w:rPr>
        <w:t xml:space="preserve">Quelle: </w:t>
      </w:r>
      <w:r>
        <w:t>https://mcp.opencaselaw.ch/entscheid/fr_gerichte_501_2023_88</w:t>
      </w:r>
    </w:p>
    <w:p>
      <w:r>
        <w:t>FR: FR_GERICHTE 501 2023 88 du 27 mai 2024</w:t>
      </w:r>
    </w:p>
    <w:p>
      <w:r>
        <w:t>IT: FR_GERICHTE 501 2023 88 del 27 maggio 2024</w:t>
      </w:r>
    </w:p>
    <w:p>
      <w:pPr>
        <w:pStyle w:val="Heading2"/>
      </w:pPr>
      <w:r>
        <w:t>Regeste</w:t>
      </w:r>
    </w:p>
    <w:p>
      <w:r>
        <w:t>Arrêt de la Cour d'appel pénal du Tribunal cantonal | Strafrecht</w:t>
      </w:r>
    </w:p>
    <w:p>
      <w:pPr>
        <w:pStyle w:val="Heading2"/>
      </w:pPr>
      <w:r>
        <w:t>Erwägungen</w:t>
      </w:r>
    </w:p>
    <w:p>
      <w:r>
        <w:rPr>
          <w:b/>
        </w:rPr>
        <w:t>E. 1</w:t>
      </w:r>
    </w:p>
    <w:p>
      <w:r>
        <w:t>Recevabilité et dispositions relatives à la procédure d’appel</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jugement attaqué est remis en cause dans son ensemble.</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w:t>
      </w:r>
    </w:p>
    <w:p>
      <w:r>
        <w:rPr>
          <w:b/>
        </w:rPr>
        <w:t>E. 1.3.1</w:t>
      </w:r>
    </w:p>
    <w:p>
      <w:r>
        <w:t>A titre de réquisition de preuve, l’appelant sollicite la mise en œuvre d’une inspection des lieux avec reconstitution des faits ainsi que d’une expertise tendant à déterminer la vitesse du motocycliste. L’appelant sollicite également l’audition, respectivement la ré-audition, du témoin E.________ – afin, explique-t-il, de démontrer que le motocycliste a effectué des zigzags juste avant la collision – et celle du frère de la partie plaignante « et de ses connaissances qui sont venues sur</w:t>
      </w:r>
    </w:p>
    <w:p>
      <w:r>
        <w:t>Tribunal cantonal TC Page 4 de 13 place juste après l’accident », tout ceci en vue de permettre l’analyse du comportement de la partie plaignante.</w:t>
      </w:r>
    </w:p>
    <w:p>
      <w:r>
        <w:rPr>
          <w:b/>
        </w:rPr>
        <w:t>E. 1.3.2</w:t>
      </w:r>
    </w:p>
    <w:p>
      <w:r>
        <w:t>En l’espèce, ces différentes réquisitions de preuves apparaissent d’emblée superflues et ne semblent pas susceptibles d’apporter d’élément nouveau utile à la manifestation de la vérité. En premier lieu, la Cour fait d’emblée remarquer que, bien qu’il ait requis l’audition des parties, et notamment celle de la partie plaignante, l’avocat du prévenu n’a pas souhaité lui poser des questions lors de l’audience de ce jour. S’agissant ensuite de la requête tendant à la ré-audition du témoin E.________, la Cour constate que ce dernier avait déjà été entendu par la police puis par le ministère public, lors d’une audition de confrontation, à l’occasion de laquelle les parties ont eu l’occasion de réagir à chacune de ses déclarations. Quoi qu’il en soit, ce témoignage n’est pas déterminant pour l’issue de la cause. D’une part, le témoin se trouvait sur son balcon, à une centaine de mètres du lieu de l’accident, et un arbre lui bouchait partiellement la vue (DO 3016). D’autre part, ses déclarations relatives à la présence d’une plaque « L » sur la moto de la partie plaignante (DO 2038 et 3017) – plaque qui n’a toutefois pas été retrouvée sur la moto ni sur les lieux de l’accident – et sur le fait qu’une voiture arrivait en sens inverse (DO 2038 et 3018) – ce qui ne ressort d’aucun autre témoignage – ne sauraient aider la Cour à mieux comprendre ce qui s’est réellement passé au moment de la collision. On ne voit ainsi pas en quoi une nouvelle audition, près de trois ans après les faits, permettrait de clarifier des éléments qui pourraient s’avérer pertinents en l’espèce. Quant à la requête d’audition des personnes « venues sur place juste après l’accident », elle vise à établir avec certitude si le « L » d’élève conducteur était effectivement apposé sur le motocycle conduit par la partie plaignante ou s’il était tombé auparavant, ceci afin de démontrer la crédibilité des déclarations du témoin E.________. Dans la mesure où ces déclarations n’ont, comme il vient d’être dit, pas de réelle portée en l’espèce, une telle requête apparaît dénuée de sens. Par ailleurs, le temps écoulé depuis l’accident, à savoir près de trois ans, rendrait ces témoignages d’autant moins opportuns. En effet, il est notoire que les souvenirs d'événements passés s'altèrent avec le temps et sont « pollués » par le déroulement de la procédure. Ainsi, de telles nouvelles auditions ne feraient qu’augmenter le risque de déclarations imprécises et contradictoires. S’agissant ensuite de sa demande d’une expertise tendant à déterminer la vitesse à laquelle circulait le motocycliste, la Cour constate qu’il n’existe pas le moindre indice concret d’une vitesse excessive de ce dernier et relève de la pure hypothèse. D’une part, ses déclarations ont été constantes à ce propos (DO 2018, DO 3013). D’autre part, le témoin E.________ n’a jamais mentionné une vitesse excessive du motocycliste, se limitant à évoquer de possibles zigzags (DO 2038 et 3016 ss). Il n’a notamment jamais évoqué un éventuel bruit, susceptible d’être assourdissant, que pourrait produire une moto circulant à grande vitesse. Enfin, les dégâts constatés sur les deux véhicules sont relativement minimes et ne parlent pas en faveur d’un choc à grande vitesse (DO 2035 s.). Une telle expertise n’est dès lors pas justifiée. Enfin et surtout, les faits susceptibles d'être éclaircis et/ou révélés par l’un ou l’autre de ces moyens de preuve requis par le prévenu dans le but de démontrer que la partie plaignante aurait effectué des zigzags et/ou aurait circulé à une vitesse excessive, ne sont de toute manière pas pertinents pour l’issue de la cause. En effet, on rappellera qu’il n’existe pas de compensation des fautes en droit pénal, de sorte que même en supposant que le comportement de la partie plaignante ait été</w:t>
      </w:r>
    </w:p>
    <w:p>
      <w:r>
        <w:t>Tribunal cantonal TC Page 5 de 13 illicite – ce qui n’est pas établi et ne ressort pas du dossier de la cause –, cela n'enlève rien au propre caractère illicite ou punissable du comportement de l’appelant. Les arguments évoqués à ce titre, à tout le moins implicitement, relèvent au demeurant du droit privé (responsabilité civile) et non du droit pénal. Une reconstitution des faits ou une expertise auraient à la rigueur pu s’avérer utiles si des circonstances extérieures échappant à sa maîtrise avaient pu limiter la visibilité du prévenu, par exemple en raison des conditions météo (brouillard, soleil rasant, etc.), de la topographie des lieux ou en présence d’un obstacle quelconque, ce qui n’est absolument pas avéré ni même allégué en l’espèce.</w:t>
      </w:r>
    </w:p>
    <w:p>
      <w:r>
        <w:rPr>
          <w:b/>
        </w:rPr>
        <w:t>E. 1.3.3</w:t>
      </w:r>
    </w:p>
    <w:p>
      <w:r>
        <w:t>Il s’ensuit le rejet de l’ensemble des réquisitions de preuves formulées. Il n'y a dès lors pas lieu d'aller au-delà de l'audition des parties, le dossier étant par ailleurs complet.</w:t>
      </w:r>
    </w:p>
    <w:p>
      <w:r>
        <w:rPr>
          <w:b/>
        </w:rPr>
        <w:t>E. 2</w:t>
      </w:r>
    </w:p>
    <w:p>
      <w:r>
        <w:t>Présomption d’innocence et principe in dubio pro reo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En présence de versions contradictoires, il appartient au Tribunal de se forger son intime conviction sur la base des éléments pertinents du dossier et de la crédibilité des protagonistes aussi, ce qu'il apprécie librement (cf. art. 139 al. 1 et 10 al. 2 CPP ;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w:t>
      </w:r>
    </w:p>
    <w:p>
      <w:r>
        <w:t>Tribunal cantonal TC Page 6 de 13</w:t>
      </w:r>
    </w:p>
    <w:p>
      <w:r>
        <w:rPr>
          <w:b/>
        </w:rPr>
        <w:t>E. 3</w:t>
      </w:r>
    </w:p>
    <w:p>
      <w:r>
        <w:t>Dispositions pénales applicables</w:t>
      </w:r>
    </w:p>
    <w:p>
      <w:r>
        <w:rPr>
          <w:b/>
        </w:rPr>
        <w:t>E. 3.1</w:t>
      </w:r>
    </w:p>
    <w:p>
      <w:r>
        <w:t>Infraction de lésions corporelles graves par négligence (art. 125 al. 2 CP) L'art. 125 CP réprime le comportement de celui qui, par négligence, aura fait subir à une personne une atteinte à l'intégrité corporelle ou à la santé (al. 1). Si la lésion est grave, le délinquant sera poursuivi d'office (al. 2). La réalisation de cette infraction suppose ainsi la réunion de trois conditions, à savoir une négligence imputable à l'auteur, des lésions corporelles subies par la victime, ainsi qu'un lien de causalité naturelle et adéquate entre la négligence et les lésions (arrêt TF 6B_69/2017 du 28 novembre 2017 consid. 2.1; arrêt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TF 6B_69/2017 du 28 novembre 2017 consid. 2.1; arrêt TF 6B_291/2015 du 18 janvier 2016 consid. 2.1).</w:t>
      </w:r>
    </w:p>
    <w:p>
      <w:r>
        <w:rPr>
          <w:b/>
        </w:rPr>
        <w:t>E. 3.2</w:t>
      </w:r>
    </w:p>
    <w:p>
      <w:r>
        <w:t>Dispositions de la LCR 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ATF 125 IV 83 consid. 2b et les références citées).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115 IV 239 consid. 2). Seul celui qui s'est comporté réglementairement peut invoquer le principe de la confiance. Celui qui viole des règles de la circulation et crée ainsi une situation confuse ou dangereuse ne peut pas attendre des autres qu'ils parent à ce danger par une attention accrue. En outre, il n'existe pas de compensation des fautes en droit pénal (cf. arrêt TF 6B_873/2014 du 5 janvier 2015 consid. 2.4.1 et 2.4.2).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D'après la jurisprudence, cette règle s'applique à tout changement de direction, qu'il s'agisse d'obliquer à gauche ou à droite, à la hauteur ou en dehors d'une intersection. Ainsi, le conducteur</w:t>
      </w:r>
    </w:p>
    <w:p>
      <w:r>
        <w:t>Tribunal cantonal TC Page 7 de 13 d’un véhicule automobile qui veut obliquer à gauche doit s’assurer « immédiatement » avant la manœuvre que celle-ci ne met pas en danger un véhicule plus rapide, par exemple en observant dans le rétroviseur ou à l’œil nu (BUSSY/RUSCONI, CSCR commenté, art. 39 n. 2.2 let. d et les références). L’art. 35 al. 3 LCR dispose que celui qui dépasse doit avoir particulièrement égard aux autres usagers de la route, notamment à ceux qu’il veut dépasser. Quant à l’art. 39 al. 1 LCR, il prescrit qu’avant de changer de direction, le conducteur manifestera à temps son intention aux moyens des indicateurs de direction ou en faisant de la main des signes intelligibles. Cette règle vaut notamment : pour se disposer en ordre de présélection, passer d’une voie à l’autre ou pour obliquer (let. a), pour dépasser ou faire demi-tour (let. b), pour s’engager dans la circulation ou s’arrêter au bord de la route (let. c). Selon l’al. 2, le conducteur qui signale son intention aux autres usagers de la route n’est pas dispensé pour autant d’observer les précautions nécessaires. Selon la jurisprudence, actionner l'indicateur de direction ne suffit pas (art. 39 al. 2 LCR), car l'expérience enseigne qu'un tel signe, même donné assez tôt, est souvent méconnu ou remarqué trop tard, ce dont le conducteur qui s'écarte du bord de la chaussée doit tenir compte (ATF 97 IV 34 et les arrêts cités). En plus d'indiquer sa direction, le conducteur qui effectue ce genre de manœuvre doit donc, avant de se rabattre, vérifier attentivement, en regardant dans ses rétroviseurs et en tournant si nécessaire la tête pour regarder dans l'angle mort, au besoin en s'arrêtant, que l'exécution de la dernière partie de sa manœuvre ne provoquera pas un accident avec un usager en train ou sur le point de dépasser par la droite. Le cas échéant, il laissera passer le véhicule qui le dépasse par la droite, bien que ce dépassement soit illicite (cf. art. 13 al. 5 OCR). Durant la manœuvre, il vouera son attention à la route et à la circulation (cf. art. 3 al. 1 OCR ; cf. notamment arrêt TF 6S.201/2006 du 15 juin 2006 consid. 2.1).</w:t>
      </w:r>
    </w:p>
    <w:p>
      <w:r>
        <w:rPr>
          <w:b/>
        </w:rPr>
        <w:t>E. 3.3</w:t>
      </w:r>
    </w:p>
    <w:p>
      <w:r>
        <w:t>Lien de causalité La violation fautive d'un devoir de prudence doit être la cause naturelle et adéquate des lésions subies par la victime (ATF 133 IV 158 consid. 6; ATF 129 IV 119 consid. 2.4).</w:t>
      </w:r>
    </w:p>
    <w:p>
      <w:r>
        <w:rPr>
          <w:b/>
        </w:rPr>
        <w:t>E. 3.3.1</w:t>
      </w:r>
    </w:p>
    <w:p>
      <w:r>
        <w:t>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w:t>
      </w:r>
    </w:p>
    <w:p>
      <w:r>
        <w:t>Tribunal cantonal TC Page 8 de 13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w:t>
      </w:r>
    </w:p>
    <w:p>
      <w:r>
        <w:rPr>
          <w:b/>
        </w:rPr>
        <w:t>E. 3.3.2</w:t>
      </w:r>
    </w:p>
    <w:p>
      <w:r>
        <w:t>Par ailleurs, une action est la cause adéquate du résultat dommageable si le comportement était propre, d'après le cours ordinaire des choses et l'expérience générale de la vie, à entraîner un résultat du genre de celui qui s'est produit.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(cf. ATF 133 IV 158 consid. 6.1). Dans le cas d'un délit d'omission, la question de la causalité ne se présente pas de la même manière que si l'infraction de résultat était réalisée par commission ; il faut procéder par hypothèse et se demander si l'accomplissement de l'acte omis aurait, selon le cours ordinaire des choses et l'expérience de la vie, évité la survenance du résultat qui s'est produit (cf. ATF 134 IV 255 consid. 4.4.1).</w:t>
      </w:r>
    </w:p>
    <w:p>
      <w:r>
        <w:rPr>
          <w:b/>
        </w:rPr>
        <w:t>E. 3.4</w:t>
      </w:r>
    </w:p>
    <w:p>
      <w:r>
        <w:t>Casuistique Dans un arrêt 6B_543/2011 du 7 octobre 2011, le TF a examiné le cas d’une automobiliste qui, alors qu’elle circulait sur une route à deux voies, n'avait pas vu le scooter derrière elle, ne s'était pas mise en ordre de présélection à temps et avait obliqué brusquement à gauche, entraînant ainsi une collision avec le scooter qui avait entrepris de la dépasser par la voie de gauche. Le TF a considéré que par son comportement, l’automobiliste avait violé la règle de la prudence imposée par l’art. 34 al. 3 LCR, laquelle était propre selon le cours ordinaire des choses à entraîner un accident, peu importe que le scootériste ne se soit le cas échéant pas conformé aux art. 34 al. 4 et 35 al. 5 LCR (distance insuffisante et dépassement nonobstant la signalisation de changement de direction). Le TF a notamment rappelé qu'il n'y avait pas de compensation des fautes au pénal et que le comportement du scootériste, en supposant qu'il ait contrevenu aux dispositions de la LCR invoquées, n'aurait rien d'exceptionnel au point de reléguer à l'arrière-plan le comportement de la recourante, qui n'a pas vu l'intimé, ne s'est pas mise en ordre de présélection et a brusquement obliqué à gauche (cf. TF 6B_543/2011 du 7 octobre 2011 consid. 2.2.3). Dans un cas similaire d’un automobiliste qui avait obliqué à gauche sans remarquer le motocycliste qui le dépassait par la gauche, le TF a confirmé, d’une part, que le manque d’égards de l’automobiliste constituait la cause naturelle et adéquate de l’accident et, d’autre part, que le comportement du motocycliste, qui l’avait dépassé par la gauche alors qu’il avait enclenché son indicateur et s'était mis en présélection pour tourner à gauche, ne constituait pas un comportement imprévisible au point de rompre le lien de causalité adéquate (cf. arrêt TF 6B_253/2012 du</w:t>
      </w:r>
    </w:p>
    <w:p>
      <w:r>
        <w:rPr>
          <w:b/>
        </w:rPr>
        <w:t>E. 7</w:t>
      </w:r>
    </w:p>
    <w:p>
      <w:r>
        <w:t>La demande d'indemnité au sens de l'art. 433 CPP de B.________ est partiellement admise. Partant, A.________ est astreint à verser à B.________ une indemnité de CHF 8'496.40, TVA par CHF 607.45 comprise. En cas de non-paiement de l'amende par A.________ dans le délai qui sera fixé dans la liste de frais et si celle-ci est inexécutable par la voie de la poursuite pour dettes, elle fera place à 10 jours de peine privative de liberté (art. 106 al. 2 et 5 CP). II. Les frais de procédure d’appel dus à l’Etat sont mis à la charge de A.________. Ils sont fixés à CHF 2’200.- (émolument : CHF 2'000.- ; débours: CHF 200.-). III. Aucune indemnité au sens de l'art. 429 CPP n'est allouée à A.________. IV. A.________ est condamné à verser à B.________, à titre d'indemnité pour ses dépenses obligatoires occasionnées par la procédure d’appel (art. 433 CPP), un montant de CHF 3'837.70, TVA par CHF 284.95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mai 2024/isc Le Président La Greffière-rapporteure</w:t>
      </w:r>
    </w:p>
    <w:p>
      <w:r>
        <w:rPr>
          <w:b/>
        </w:rPr>
        <w:t>E. 7.1</w:t>
      </w:r>
    </w:p>
    <w:p>
      <w:r>
        <w:t>En l’espèce, l’appel du prévenu est intégralement rejeté. Partant, il n’y a pas lieu de revoir la répartition des frais de première instance. Il se justifie également de mettre les frais judiciaires de la procédure d’appel à la charge de l’appelant. Ils sont fixés à CHF 2'200.- conformément aux art. 424 CPP, 124 LJ, 33 à 35 et 43 RJ (émolument: CHF 2'000.- ; débours: CHF 200.-).</w:t>
      </w:r>
    </w:p>
    <w:p>
      <w:r>
        <w:rPr>
          <w:b/>
        </w:rPr>
        <w:t>E. 7.2</w:t>
      </w:r>
    </w:p>
    <w:p>
      <w:r>
        <w:t>En vertu de l'art. 429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w:t>
      </w:r>
    </w:p>
    <w:p>
      <w:r>
        <w:t>Tribunal cantonal TC Page 12 de 13 du tort moral subi en raison d'une atteinte particulièrement grave à sa personnalité, notamment en cas de privation de liberté (let. c). Vu le sort de la cause, aucune indemnité au sens de I'art. 429 CPP n'est allouée à A.________.</w:t>
      </w:r>
    </w:p>
    <w:p>
      <w:r>
        <w:rPr>
          <w:b/>
        </w:rPr>
        <w:t>E. 7.3</w:t>
      </w:r>
    </w:p>
    <w:p>
      <w:r>
        <w:t>En vertu de l'art. 433 CPP, la partie plaignante peut demander au prévenu une juste indemnité pour les dépenses obligatoires occasionnées par la procédure si elle obtient gain de cause (let. a) ou si le prévenu est astreint au paiement des frais conformément à I'art.426 al. 2 (let. b) CPP. S’agissant de l’instance d’appel, B.________ a requis l’octroi d’une indemnité de CHF 4'631.- sur la base d’un tarif de CHF 270.-/h. Sur la base de la liste de frais qu’il a produite, la Cour retient que les opérations mentionnées sont justifiées mais la Cour applique le tarif horaire de CHF 250.- fixé par le RJ. Après correction de la durée de l’audience et des indemnités de déplacement, lesquelles sont indemnisées à hauteur de CHF 2.50/km (art. 77 et 79 RJ), l’indemnité accordée à la partie plaignante s’élève à CHF 3'837.70, TVA par CHF 284.95 comprise. la Cour arrête : I. L’appel est rejeté. Partant, le jugement de la Juge de police de l'arrondissement de la Glâne du 25 mai 2023 est confirmé dans la teneur suivante : 1. L’ordonnance pénale du Ministère public du 24 octobre 2022 est mise à néant. 2. A.________ est reconnu coupable de lésions corporelles par négligence (lésion grave). 3. En application des art. 34, 42, 44, 47, 105 al. 1, 106 et 125 al. 2 CP, A.________ est condamné : - à une peine pécuniaire de 90 jours-amende, avec sursis pendant 2 ans. Le montant du jour-amende est fixé à CHF 60.-. - au paiement d'une amende de CHF 1'000.-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4. B.________ est renvoyé à faire valoir ses conclusions civiles devant le Juge civil. 5. En application des art. 421 et 426 CPP, les frais de procédure sont mis à la charge de A.________. Ils sont fixés à CHF 1'100.- pour l'émolument de justice, y compris l'émolument du Ministère public par CHF 510.-, et à CHF 500.- pour les débours, soit CHF 1'600.- au total.</w:t>
      </w:r>
    </w:p>
    <w:p>
      <w:r>
        <w:t>Tribunal cantonal TC Page 13 de 13 6. Aucune indemnité au sens de l'art. 429 CPP n'est alloué à 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