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47 vom 3. Mai 2023</w:t>
      </w:r>
    </w:p>
    <w:p>
      <w:r>
        <w:t>FR Kantonsgericht, 2023-05-03, FR</w:t>
      </w:r>
    </w:p>
    <w:p>
      <w:r>
        <w:rPr>
          <w:b/>
        </w:rPr>
        <w:t xml:space="preserve">Quelle: </w:t>
      </w:r>
      <w:r>
        <w:t>https://mcp.opencaselaw.ch/entscheid/fr_gerichte_501_2022_47</w:t>
      </w:r>
    </w:p>
    <w:p>
      <w:r>
        <w:t>FR: FR_GERICHTE 501 2022 47 du 3 mai 2023</w:t>
      </w:r>
    </w:p>
    <w:p>
      <w:r>
        <w:t>IT: FR_GERICHTE 501 2022 47 del 3 maggio 2023</w:t>
      </w:r>
    </w:p>
    <w:p>
      <w:pPr>
        <w:pStyle w:val="Heading2"/>
      </w:pPr>
      <w:r>
        <w:t>Regeste</w:t>
      </w:r>
    </w:p>
    <w:p>
      <w:r>
        <w:t>Arrêt de la Cour d'appel pénal du Tribunal cantonal | Strafrecht</w:t>
      </w:r>
    </w:p>
    <w:p>
      <w:pPr>
        <w:pStyle w:val="Heading2"/>
      </w:pPr>
      <w:r>
        <w:t>Erwägungen</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4 de 10</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7 novembre 2022, le Président de la Cour a rejeté les réquisitions de preuve de l’appelante tendant à la production, par C.________, de la plainte pénale qu’il aurait déposée contre F.________, du message de ce dernier que C.________ a fait écouter à A.________, et à l’audition de F.________. En revanche, en date du 21 octobre 2022, le Président a requis la production du dossier de la procédure pénale instruite à la suite de la plainte pénale déposée par C.________ contre F.________ et a joint au dossier de la cause des photocopies de certaines pièces de ce dossier ainsi que l’enregistrement de l’appel téléphonique en question. En séance de ce jour, la prévenue n’a pas réitéré ses réquisitions de preuves. L’enregistrement de l’appel téléphonique a été écouté en séance. Pour le surplus, il n’y a pas matière à aller au-delà de l’audition de la prévenue et des parties plaignantes. Des pièces complémentaires ont néanmoins été produites par l’appelante et ont été versées au dossier.</w:t>
      </w:r>
    </w:p>
    <w:p>
      <w:r>
        <w:rPr>
          <w:b/>
        </w:rPr>
        <w:t>E. 2.1</w:t>
      </w:r>
    </w:p>
    <w:p>
      <w:r>
        <w:t>L’appelante conteste l’état de fait retenu par le Juge de police et fait valoir une violation du principe in dubio pro reo. Elle soutient qu’elle n’a pas sectionné le flexible du frein du véhicule de son ex-mari. Elle allègue que le seul élément l’incriminant est la géolocalisation de son téléphone dans la zone où était stationné le véhicule mais qu’elle s’est trouvée au mauvais endroit au mauvais moment. Elle a toutefois pu justifier sa présence dans le quartier. Elle estime que cet élément n’est pas suffisant pour retenir qu’elle est l’auteur des faits reprochés. Elle ajoute que si elle avait vraiment commis ces faits, elle aurait pris le soin de laisser son téléphone à la maison. Elle souligne en outre qu’elle n’aurait jamais pris le risque que ses enfants puissent se trouver dans un véhicule défectueux. Elle soutient également que l’hypothèse de l’implication de son ex-mari ne peut pas être tout simplement écartée. Il en va de même de l’hypothèse de l’implication de F.________, personne au profil psychologique instable qui a formulé des menaces à l’encontre de son ex-mari.</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w:t>
      </w:r>
    </w:p>
    <w:p>
      <w:r>
        <w:t>Tribunal cantonal TC Page 5 de 10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2.3</w:t>
      </w:r>
    </w:p>
    <w:p>
      <w:r>
        <w:t>La Cour se réfère expressément à la motivation minutieuse, pertinente et convaincante du Juge de police (cf. jugement attaqué, p. 5 à 12), qui ne prête pas le flanc à la critique et qu’elle fait sienne (art. 82 al. 4 CPP). La Cour la précise et complète comme suit pour répondre aux critiques faites par la prévenue en appel : Il a été établi par l’expertise que les dégâts causés au véhicule du plaignant sont d’origine intentionnelle et malveillante, ce qui n’est pas contesté. De plus, la présence de A.________ dans le quartier le soir où les faits ont été commis a été établie par les contrôles téléphoniques rétroactifs, ce qui n’est pas contesté non plus. Or, s’agissant de son emploi du temps au moment des faits, l’appelante, qui habite à plusieurs kilomètres de la ville, n’a pas été constante dans ses déclarations, indiquant tout d’abord qu’elle était à la maison avec ses enfants, puis, lorsque la police l’a informée de la géolocalisation de son téléphone, a déclaré qu’elle était allée chercher des livres dans des boîtes à livres à divers endroits de Fribourg. Devant le Juge de police, elle a encore donné une nouvelle version pour expliquer sa présence dans le quartier, soit qu’elle donnait des cours à une fille dont elle ne se rappelait ni du nom, ni des coordonnées et qu’elle était allée à G.________ faire des photocopies. Vu les variations dans les explications de l’appelante quant à sa présence dans le quartier, ses déclarations sont peu crédibles. A cela s’ajoute le fait que la plaignante a prétexté ne pas avoir sur elle son téléphone lorsque la police le lui a demandé lors de son audition. Invitée à se présenter avec son téléphone portable, elle a déclaré par la suite l’avoir perdu, puis qu’elle le prêtait souvent à des tiers, ce qui rend également son comportement suspect. L’appelante avait en outre des raisons de s’en prendre aux plaignants puisqu’une procédure de divorce difficile l’opposait au plaignant et leur relation était particulièrement tendue et conflictuelle. B.________ était quant à elle la compagne de l’époque de C.________ avec laquelle il a une fille. La procédure n’était pas au point mort, car le 18 mai 2020, le plaignant avait déposé un appel contre la décision de mesures provisionnelles du 6 mai 2020 et l’appelante en avait été informée le 19 mai 2020, soit le jour où les faits ont été commis. L’appelante savait en outre parfaitement que ses enfants ne risquaient pas de se trouver dans le véhicule du plaignant car ils ne devaient retourner en droit de visite chez leur père que 10 jours plus tard. De plus, les freins ont été endommagés le mercredi soir, la veille du week- end prolongé de l’Ascension lors duquel les plaignants avaient de bonnes chances de partir en voiture se balader. Enfin, la Cour relève que l’hypothèse de l’appelante selon laquelle le plaignant aurait pu lui-même saboter ses freins pour faire porter le chapeau à l’appelante n’est pas plausible du tout et doit être rejetée. Il n'aurait jamais pris le risque de circuler 40 km avec sa fille et sa compagne à bord du véhicule. Dans une telle hypothèse il lui aurait suffi de se mettre au volant, de déclarer que les freins ne réagissaient pas normalement et de faire constater les dégâts peu après avoir démarré, ou alors encore de constater les traces de liquide sur le sol au moment du démarrage et ne pas poursuivre sa route. Enfin, le fait que F.________ a menacé par téléphone C.________ ne permet en aucun cas d’écarter la culpabilité de la prévenue. En effet, il s’agissait d’un habitant de la Chaux-de-Fonds, rentier AI, souffrant de graves problèmes d’alcool, lequel a proféré des menaces verbales à diverses personnes, dans une période bien délimitée qui n’est pas celle des</w:t>
      </w:r>
    </w:p>
    <w:p>
      <w:r>
        <w:t>Tribunal cantonal TC Page 6 de 10 dommages causés à la voiture, les menaces faites par téléphones à C.________ ayant été proférées plusieurs mois après l’incident des freins. Il s’ensuit la confirmation des faits tels que retenus par le Juge de police.</w:t>
      </w:r>
    </w:p>
    <w:p>
      <w:r>
        <w:rPr>
          <w:b/>
        </w:rPr>
        <w:t>E. 3.1</w:t>
      </w:r>
    </w:p>
    <w:p>
      <w:r>
        <w:t>Les appelants joints contestent une partie de la qualification juridique retenue. Ils considèrent que l’appelante s’est rendue coupable de tentative de lésions corporelles graves et non de tentative de lésions corporelles simples. En effet, selon eux, l’acte commis par la prévenue aurait pu engendrer un accident grave causant des lésions physiques particulièrement graves aux occupants du véhicule défectueux ou à des tiers.</w:t>
      </w:r>
    </w:p>
    <w:p>
      <w:r>
        <w:rPr>
          <w:b/>
        </w:rPr>
        <w:t>E. 3.2</w:t>
      </w:r>
    </w:p>
    <w:p>
      <w:r>
        <w:t>Le Juge de police a exposé de manière exhaustive l’énoncé de fait légal et la jurisprudence relative aux infractions réprimés par les art. 122, 123 et 22 al. 1, 144 CP et par l’art. 93 LCR (cf. jugement attaqué, p. 16 à 19). On peut dès lors y renvoyer (art. 82 al. 4 CPP), tout en relevant toutefois que la peine prévue par l’art. 122 CP est une peine privative de liberté de 6 mois au moins et de 10 ans au plus, à l’exclusion d’une peine pécuniaire.</w:t>
      </w:r>
    </w:p>
    <w:p>
      <w:r>
        <w:rPr>
          <w:b/>
        </w:rPr>
        <w:t>E. 3.3</w:t>
      </w:r>
    </w:p>
    <w:p>
      <w:r>
        <w:t>La Cour est d’avis que le premier juge a qualifié juridiquement de manière exacte les faits reprochés à la prévenue en retenant qu’ils étaient constitutifs de dommages à la propriété et d’infraction à l’art. 93 LCR (porter atteinte à la sécurité d’un véhicule automobile). Ces qualifications juridiques ne sont pas contestées à titre indépendant par la défense et la Cour y renvoie intégralement (art. 82 al. 4 CPP) par adoption de motifs. En revanche, s’agissant de l’infraction de tentative de lésions corporelles, soit la prévenue a voulu causer un accident et partant a accepté le risque que celui-ci survienne et qu’il cause des lésions corporelles graves tant il est notoire qu’un accident de circulation est de nature à entraîner de telles lésions, auquel cas elle devrait être reconnue coupable de tentatives de lésions corporelles graves intentionnelles, soit au contraire, l’intention de la prévenue était de causer un dommage au véhicule, de l’immobiliser après son départ, de faire ainsi peur aux plaignants et de les perturber dans leurs intentions de déplacement, auquel cas il n’y pas place pour une tentative de lésions corporelles, même simples. Face à ces deux hypothèses, le doute doit profiter à la prévenue, Partant, la condamnation pour tentatives de lésions corporelles simples n’est pas retenue. S’agissant d’une requalification juridique à la baisse ou de l’abandon d’un concours, aucun acquittement ne sera toutefois prononcé.</w:t>
      </w:r>
    </w:p>
    <w:p>
      <w:r>
        <w:rPr>
          <w:b/>
        </w:rPr>
        <w:t>E. 4</w:t>
      </w:r>
    </w:p>
    <w:p>
      <w:r>
        <w:t>L’appelante ne conteste pas la quotité de la peine qui lui a été infligée à titre indépendant et ne motive pas ce grief. La Cour ne peut que confirmer les éléments retenus par le premier juge pour fixer la quotité de la peine. Toutefois, une des infractions retenues en concours étant abandonnée, il se justifie de fixer la peine à 45 jours-amende.</w:t>
      </w:r>
    </w:p>
    <w:p>
      <w:r>
        <w:rPr>
          <w:b/>
        </w:rPr>
        <w:t>E. 5.1</w:t>
      </w:r>
    </w:p>
    <w:p>
      <w:r>
        <w:t>Les parties plaignantes contestent le montant des conclusions civiles, soit l’indemnité pour tort moral de CHF 500.- qui leur a été allouée, sans toutefois motiver ce chef de conclusion ni dans la déclaration d’appel ni dans la plaidoirie.</w:t>
      </w:r>
    </w:p>
    <w:p>
      <w:r>
        <w:t>Tribunal cantonal TC Page 7 de 10</w:t>
      </w:r>
    </w:p>
    <w:p>
      <w:r>
        <w:rPr>
          <w:b/>
        </w:rPr>
        <w:t>E. 5.2</w:t>
      </w:r>
    </w:p>
    <w:p>
      <w:r>
        <w:t>En l’espèce, une indemnité pour tort moral de CHF 500.- chacun a été allouée à C.________ et à B.________ pour les actes commis par la prévenue à leur encontre. La Cour fait siens les motifs développés par le Juge de police (cf. jugement attaqué, p. 33). En effet, la Cour considère que le montant de CHF 500.- tient équitablement compte de la gravité des faits qui n’ont pas donné lieu à un accident et à la souffrance subie par les victimes.</w:t>
      </w:r>
    </w:p>
    <w:p>
      <w:r>
        <w:rPr>
          <w:b/>
        </w:rPr>
        <w:t>E. 6.1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Il n'y a pas lieu de modifier la répartition des frais opérée en première instance dans la mesure où seule une requalification juridique a été opérée en appel. Pour les mêmes raisons, la Cour n'a pas à s'écarter de l'obligation de remboursement des frais de défense d'office telle qu'elle est prévue par l'art. 135 al. 4 CPP. L’appel de la prévenue est partiellement admis et l’appel joint des parties plaignantes est rejeté. L’appel de la prévenue portait sur le principe même de toute condamnation puisqu’elle concluait à son acquittement total, alors que l’appel joint des plaignants se limitait à la qualification juridique d’une infraction reprochée et au montant des conclusions civiles. Partant, il se justifie de mettre les 2/3 des frais judiciaires de la procédure d’appel, par CHF 3’300.- au total (art. 424 CPP, 124 LJ, 33 à 35 et 43 RJ [émolument: CHF 3'000.-; débours: CHF 300.-], hors frais afférents à la défense d’office), à la charge de la prévenue et l’autre tiers à la charge de l’Etat de Fribourg dès lors que les parties plaignantes, au bénéfice de l’assistance judiciaire, sont exonérées des frais de procédure (art. 136 al. 2 let. b CPP) et pour tenir compte du fait que l’appelante a eu partiellement gain de cause.</w:t>
      </w:r>
    </w:p>
    <w:p>
      <w:r>
        <w:rPr>
          <w:b/>
        </w:rPr>
        <w:t>E. 6.2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Les débours nécessaires sont remboursés au prix coûtant, les frais de copie, de port et de téléphone étant toutefois fixés forfaitairement à 5 % de l'indemnité de base (art. 58 RJ). Le taux de la TVA est de 7.7 % (art. 25 al. 1 LTVA). Quant aux déplacements en ville de Fribourg pour un avocat qui y a son étude, ils sont indemnisés par un forfait de CHF 30.- (art. 77 al. 4 RJ).</w:t>
      </w:r>
    </w:p>
    <w:p>
      <w:r>
        <w:rPr>
          <w:b/>
        </w:rPr>
        <w:t>E. 6.3</w:t>
      </w:r>
    </w:p>
    <w:p>
      <w:r>
        <w:t>Me Valentin Sapin agit en qualité de défenseur d’office de A.________. Il a été désigné par ordonnance du Président de la Cour du 26 août 2022. Sur sa base de sa liste de frais, la Cour fait droit aux honoraires demandés par Me Valentin Sapin, les opérations étant justifiées. Elle l’adapte toutefois pour tenir compte de la durée effective de la séance de ce jour et retranche la durée de la conférence de ce jour avec sa cliente, laquelle n’était pas nécessaire, une conférence téléphonique</w:t>
      </w:r>
    </w:p>
    <w:p>
      <w:r>
        <w:t>Tribunal cantonal TC Page 8 de 10 d’une heure avec sa cliente ayant déjà eu lieu le 1er mai 2023. Par conséquent, l’indemnité du défenseur d’office, pour la procédure d’appel, est fixée à CHF 3'492.70, TVA par CHF 249.70 comprise. Le détail du calcul est joint en annexe. En application de l’art. 135 al. 4 CPP, A.________ sera tenue de rembourser 2/3 de ce montant à l'Etat dès que sa situation financière le permettra.</w:t>
      </w:r>
    </w:p>
    <w:p>
      <w:r>
        <w:rPr>
          <w:b/>
        </w:rPr>
        <w:t>E. 6.4</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C.________ et B.________, même si leur appel joint a été rejeté, ont résisté à l’appel de la prévenue de sorte qu’ils ont droit – dans la mesure où ils y prétendent – à une indemnité pour leurs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nécessistant des connaissances spécifiques, jusqu’à CHF 350.-. Les débours nécessaires sont remboursés au prix coûtant, les frais de copie, de port et de téléphone étant toutefois fixés forfaitairement à 5% de l'indemnité de base (art. 68 RJ). Le taux de la TVA est de 7.7% pour les opérations postérieures au 1er janvier 2018 (art. 25 al. 1 LTVA). La liste de frais de Me David Aïoutz fait état de 7 heures et 45 minutes consacrées à la défense de ses mandants. La Cour fait globalement droit aux prétentions demandées par les plaignants en ajoutant la durée effective de la séance et en ramenant le tarif horaire à CHF 250.-. Par conséquent, la juste indemnité due en vertu de l'art. 433 al. 1 CPP est arrêtée à CHF 2'788.95, TVA par CHF 199.40 comprise. Elle sera toutefois réduite de 1/3 pour tenir compte de la répartition des frais de procédure en appel (cf. supra consid. 6.1.) de sorte qu’elle est arrêtée à CHF 1'859.30, TVA par 132.95 comprise. Le détail du calcul est joint en annexe.</w:t>
      </w:r>
    </w:p>
    <w:p>
      <w:r>
        <w:rPr>
          <w:b/>
        </w:rPr>
        <w:t>E. 7</w:t>
      </w:r>
    </w:p>
    <w:p>
      <w:r>
        <w:t>condamne A.________, en application des articles 421, 422 et 426 CPP, et art. 33, 34 et 42 RJ/FR, au paiement des frais de procédure par CHF 11'160.75 (émolument : CHF 800.-; débours en l’état, sous réserve d’éventuelles opérations ou factures complémentaires : CHF 10'360.75 (CHF 6'752.25 + l’indemnité allouée au défenseur d’office par CHF 3'608.50) ;</w:t>
      </w:r>
    </w:p>
    <w:p>
      <w:r>
        <w:rPr>
          <w:b/>
        </w:rPr>
        <w:t>E. 8</w:t>
      </w:r>
    </w:p>
    <w:p>
      <w:r>
        <w:t>rejette la demande d’indemnité au sens de l’art 429 CPP ;</w:t>
      </w:r>
    </w:p>
    <w:p>
      <w:r>
        <w:rPr>
          <w:b/>
        </w:rPr>
        <w:t>E. 9</w:t>
      </w:r>
    </w:p>
    <w:p>
      <w:r>
        <w:t>fixe au montant de CHF 4'900.40 l'indemnité due par A.________ à C.________ et B.________, respectivement Me David AÏOUTZ, pour les frais occasionnés par la procédure (art. 433 CPP).</w:t>
      </w:r>
    </w:p>
    <w:p>
      <w:r>
        <w:t>Tribunal cantonal TC Page 10 de 10 II. En application de l’art. 428 al. 1 CPP, les frais de procédure d’appel dus à l’Etat, par CHF 3'300.- (émolument: CHF 3'000.-; débours: CHF 300.-), sont mis à la charge de A.________ à raison des 2/3 et à la charge de l’Etat de Fribourg à raison de 1/3. III. L'indemnité de défenseur d’office de Me Valentin Sapin pour la procédure d'appel est arrêtée à CHF 3'492.70, TVA par CHF 249.70 comprise. En application de l’art. 135 al. 4 CPP, A.________ est tenue de rembourser 2/3 de ce montant à l'Etat dès que sa situation financière le permettra. IV. A.________ est condamné à verser à C.________ et à B.________, solidairement entre eux, à titre d'indemnité réduite, un montant de CHF 1'859.30, TVA par 132.95 comprise, pour leurs dépenses obligatoires occasionnées par la procédure d’appel (art. 433 CPP). V. Aucune indemnité équitable au sens de l'art. 429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mai 2023/say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