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21 vom 22. Dezember 2022</w:t>
      </w:r>
    </w:p>
    <w:p>
      <w:r>
        <w:t>FR Kantonsgericht, 2022-12-22, FR</w:t>
      </w:r>
    </w:p>
    <w:p>
      <w:r>
        <w:rPr>
          <w:b/>
        </w:rPr>
        <w:t xml:space="preserve">Quelle: </w:t>
      </w:r>
      <w:r>
        <w:t>https://mcp.opencaselaw.ch/entscheid/fr_gerichte_501_2022_21</w:t>
      </w:r>
    </w:p>
    <w:p>
      <w:r>
        <w:t>FR: FR_GERICHTE 501 2022 21 du 22 décembre 2022</w:t>
      </w:r>
    </w:p>
    <w:p>
      <w:r>
        <w:t>IT: FR_GERICHTE 501 2022 21 del 22 dicembre 2022</w:t>
      </w:r>
    </w:p>
    <w:p>
      <w:pPr>
        <w:pStyle w:val="Heading2"/>
      </w:pPr>
      <w:r>
        <w:t>Regeste</w:t>
      </w:r>
    </w:p>
    <w:p>
      <w:r>
        <w:t>Arrêt de la Cour d'appel pénal du Tribunal cantonal | Strafrecht</w:t>
      </w:r>
    </w:p>
    <w:p>
      <w:pPr>
        <w:pStyle w:val="Heading2"/>
      </w:pPr>
      <w:r>
        <w:t>Erwägungen</w:t>
      </w:r>
    </w:p>
    <w:p>
      <w:r>
        <w:rPr>
          <w:b/>
        </w:rPr>
        <w:t>E. 4</w:t>
      </w:r>
    </w:p>
    <w:p>
      <w:r>
        <w:t>Le solde du compte à hauteur de CHF 15’950.12 n° ccc, bloqué le 31 juillet 2020 est confisqué et remis à la banque D.________ à titre de remboursement partiel du crédit COVID-19.</w:t>
      </w:r>
    </w:p>
    <w:p>
      <w:r>
        <w:rPr>
          <w:b/>
        </w:rPr>
        <w:t>E. 5</w:t>
      </w:r>
    </w:p>
    <w:p>
      <w:r>
        <w:t>Le blocage des comptes D.________ n° ccc, n° fff et n° eee est levé. 3. Les frais de première instance et d’appel sont mis à la charge du prévenu. » En substance, le Ministère public a relevé que compte tenu des circonstances particulières engendrées par la pandémie de COVID-19 (accès rapide, non bureaucratique et sans plus ample documentation pour certains montants) le formulaire de demande de prêt a une valeur particulière digne de confiance avec une force probante accrue et partant, constitue un titre. Le prévenu n’a ni présenté de demande de non-entrée en matière, ni déclaré d’appel joint. D. Par courrier du 23 mars 2022, la direction de la procédure a annoncé son intention de faire application de la procédure écrite. Par courrier du 5 avril 2022, le Ministère public a indiqué ne pas s’opposer à la procédure écrite et ne pas souhaiter compléter la motivation figurant à l’appui de sa déclaration d’appel. Le prévenu a quant à lui indiqué, par courrier du 21 avril 2022, ne pas s’opposer à ce qu’il soit fait application de la procédure écrite. Par courrier du 11 mai 2022, la Juge de police s’est entièrement référée à son jugement. Le prévenu a déposé sa détermination le 7 juin 2022. En substance, il conteste toute valeur particulière au formulaire de demande de prêt qu’il considère comme un « simple formulaire électronique ». Dans l’éventualité inverse, le prévenu relève son</w:t>
      </w:r>
    </w:p>
    <w:p>
      <w:r>
        <w:t>Tribunal cantonal TC Page 4 de 14 absence d’intention et l’absence d’un dessein spécial de tromper ou de nuire. Il précise encore que les chiffres relatifs à la masse salariale et au chiffre d’affaires sont apparus automatiquement et que de toute manière, il ne pouvait se douter d’un éventuel comportement contraire à la loi à mesure que cette façon de procéder lui avait été suggérée par la banque. Finalement dans l’hypothèse où la prévention de faux dans les titres serait retenue, il ne pourrait être condamné pour contravention au sens de l’article 23 OCaS-COVID-19 ; cette dernière étant subsidiaire. Le prévenu conclut ainsi au rejet de l’appel, à ce que le jugement du 12 octobre 2021 soit confirmé, que les frais soient mis à la charge de l’Etat et à une indemnité de CHF 1'500.-. en droit 1. 1.1. L’appel, déposé en temps utile et contre un jugement final rendu par un tribunal de première instance (art. 398 al. 1 et 399 al. 1 et 3 CPP), est recevable. Le Ministère public a qualité pour interjeter appel (art. 381 al. 1 CPP). 1.2. Saisie d'un appel contre un jugement ne portant pas que sur des contraventions, la Cour d'appel jouit d'un plein pouvoir d'examen sur tous les points attaqués du jugement (art. 398 al. 2 CPP) : elle revoit la cause librement en fait, en droit et en opportunité (TF, arrêt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la qualification juridique des faits en ce sens que ceux-ci ne seraient pas uniquement constitutifs d’une contravention au sens de l’article 23 OCaS-COVID-19 mais aussi et en sus, de faux dans les titres au sens de l’article 251 CPP. L’appelant ne revient en revanche ni sur la non-révocation du sursis, ni sur le sort des comptes bloqués. 1.3. Avec l'accord des parties, la direction de la procédure peut ordonner la procédure écrite lorsque l'appel est dirigé contre un jugement rendu par un juge unique (art. 406 al. 2 let. b CPP), ce qu’elle a choisi de faire in casu ; les parties ne s'y sont pas opposées. L’appelant a déposé un mémoire motivé au sens de l’article 390 alinéa 1 CPP. La motivation est conforme à l’article 385 alinéa 1 CPP. 2. 2.1. Le 20 mars 2020, le Conseil fédéral a adopté un train de mesures visant à atténuer les conséquences économiques de la pandémie de coronavirus (COVID-19),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lié au coronavirus. C'est ainsi qu'en date du 26 mars 2020, est entrée en vigueur l'ordonnance du 25 mars 2020 sur l’octroi de crédits et de cautionnements solidaires à la suite du coronavirus. Les mesures prévues par cette ordonnance visent à éviter les cas de rigueur et, au besoin, à apporter un soutien ciblé, rapide et sans formalités</w:t>
      </w:r>
    </w:p>
    <w:p>
      <w:r>
        <w:t>Tribunal cantonal TC Page 5 de 14 excessives. Elles visent à fournir en particulier aux travailleurs indépendants et aux petites et moyennes entreprises un accès rapide et non bureaucratique aux crédits bancaires - et donc aux liquidités - afin qu'ils puissent supporter leurs frais fixes malgré des pertes de revenus liées à la pandémie. En substance, le système mis en place se calque sur celui instauré par la loi fédérale du</w:t>
      </w:r>
    </w:p>
    <w:p>
      <w:r>
        <w:rPr>
          <w:b/>
        </w:rPr>
        <w:t>E. 5.1</w:t>
      </w:r>
    </w:p>
    <w:p>
      <w:r>
        <w:t>Selon l'article 428 alinéa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En l’espèce, le Ministère public obtient très largement gain de cause dès lors que l’infraction de faux dans les titres est retenue. En ce qui concerne le prévenu, si pratiquement il devra concrètement s’acquitter d’une peine financière moindre, il est à présent condamné non plus pour une contravention mais pour un crime. Il succombe ainsi très largement, étant entendu que la question de droit de l’application cumulative ou non de l’article 23 OCaS-COVID-19 restait accessoire. Partant, les frais judiciaires d’appel comprenant un émolument de CHF 1'000.- et les débours forfaitaires par CHF 100.-, soit au total CHF 1'100.- sont mis entièrement à la charge du prévenu.</w:t>
      </w:r>
    </w:p>
    <w:p>
      <w:r>
        <w:rPr>
          <w:b/>
        </w:rPr>
        <w:t>E. 5.2</w:t>
      </w:r>
    </w:p>
    <w:p>
      <w:r>
        <w:t>Aux termes de l'article 428 alinéa 3 CPP, si l'autorité de recours rend elle-même une nouvelle décision, elle se prononce également sur les frais fixés par l'autorité inférieure. Le sort des frais de procédure de première instance est régi par l’art. 426 CPP. Le prévenu doit supporter les frais en cas de condamnation (art. 426 al. 1 CPP), car il a occasionné, par son comportement, l'ouverture et la mise en œuvre de l'enquête pénale (ATF 138 IV 248 consid. 4.4.1 p. 254).</w:t>
      </w:r>
    </w:p>
    <w:p>
      <w:r>
        <w:t>Tribunal cantonal TC Page 12 de 14 En l’espèce, la répartition des frais de première instance doit être revue et être entièrement mise à la charge du prévenu qui succombe. De plus il doit être tenu compte d’un émolument de justice de CHF 420.- en raison de la rédaction intégrale. Les frais de la première instance doivent dès lors être fixés à CHF 420.- pour l’émolument de justice et à CHF 120.- pour les débours, soit CHF 540.- au total. 6</w:t>
      </w:r>
    </w:p>
    <w:p>
      <w:r>
        <w:rPr>
          <w:b/>
        </w:rPr>
        <w:t>E. 6</w:t>
      </w:r>
    </w:p>
    <w:p>
      <w:r>
        <w:t>octobre 2006 sur les aides financières aux organisations de cautionnement en faveur des petites et moyennes entreprises, en ce sens que les crédits octroyés par la banque à des travailleurs indépendants et à des entreprises solvables qui souffrent des conséquences économiques de la pandémie sont cautionnés par les quatre organisations de cautionnement reconnues par la Confédération. Afin d'assurer un accès rapide et sans formalités excessives aux liquidités, il est prévu en sus que la Confédération cautionne elle-même les crédits, prenant en charge les éventuelles pertes de cautionnement subies par les organisations précitées (art. 1 et 20). Le montant du crédit cautionné (ci-après : crédit COVID-19) est calculé en fonction du chiffre d'affaires annuel. Il ne doit pas dépasser 10% de ce dernier, étant attendu que si la clôture définitive de l’exercice 2019 n'est pas disponible, le résultat provisoire ou, si ce dernier fait également défaut, le chiffre d'affaires de l'exercice 2018 font foi. Pour les jeunes entreprises dont les activités ont débuté avant le 1er janvier 2020, une estimation du chiffre d'affaires calculé sur la base de la masse salariale est prise en considération (art. 7). Afin de le rendre le plus efficace possible, I'OCaS-COVID-19 a mis en place un système délibérément simple, destiné à fournir cette aide d'urgence très rapidement, avec un minimum de formalités, qui plus est sans intérêts pour les petites et moyennes entreprises dont le chiffre d'affaires annuel ne dépasse pas CHF 5'000'000.- (art. 3 al. 1 et 13 al. 3 let. a). Ainsi, pour un crédit COVID-19 allant jusqu'à CHF 500'000.-, il suffit de remplir un formulaire standardisé, valant convention de crédit, disponible électroniquement sur le site de l'administration fédérale, d'y déclarer que l’on remplit les conditions d'octroi et de soumettre ensuite ce formulaire à sa banque partenaire. Les demandes de crédits devaient être déposées jusqu'au 31 juillet 2020 (art. 11 ; annexe 2). Parmi les conditions d'octroi du crédit COVID-19, l’entreprise doit en particulier avoir été fondée avant la pandémie de coronavirus en Suisse, soit avant le 1er mars 2020. Elle doit ensuite être considérablement touchée sur le plan économique par la pandémie, notamment au regard de son chiffre d'affaires. Elle doit enfin être financièrement saine, c'est-à-dire ne pas être en procédure de faillite, en procédure concordataire ou en liquidation. Le preneur de crédit doit par ailleurs avoir confirmé par écrit que les données communiquées sont complètes et véridiques (art.</w:t>
      </w:r>
    </w:p>
    <w:p>
      <w:r>
        <w:rPr>
          <w:b/>
        </w:rPr>
        <w:t>E. 6.1</w:t>
      </w:r>
    </w:p>
    <w:p>
      <w:r>
        <w:t>Vu le sort de la cause, le prévenu n’a droit à aucune indemnité (art. 429 CPP). Au demeurant, le prévenu a bénéficié d'un avocat d'office rémunéré par l'Etat ; il n'a dès lors pas droit à une indemnité pour ses frais de défense au sens de l'art. 429 al. 1 let. a CPP (ATF 138 IV 205, consid. 1).</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En l'espèce, Me Pierre Mauron a été désigné défenseur d’office de prévenu par ordonnance du Ministère public de l’Etat de Fribourg du 1er septembre 2020 (DO 7'002). Cette désignation vaut également pour la procédure d'appel. Selon sa liste de frais du 7 juin 2022, il est question d’honoraires et de frais à hauteur respectivement de CHF 1'281.- et CHF 105.50. S’agissant des honoraires, la Cour fait droit aux montants demandés, le tarif horaire étant fixé à CHF 180.- conformément à l’article 57 alinéa 2 du règlement sur la justice. En ce qui concerne les débours, il sera fait application de l’article 58 alinéa 2 RJ, soit 5% de CHF 1'281.-, à savoir un total CHF 64.05. Ainsi, en tenant compte de la TVA, l’indemnité s’élève à CHF 1'448.50 (7,7% de CHF 1’345.05).</w:t>
      </w:r>
    </w:p>
    <w:p>
      <w:r>
        <w:t>Tribunal cantonal TC Page 13 de 14 la Cour arrête : I. L’appel est partiellement admis. Partant, le jugement du 12 octobre 2021 de la Juge de police de la Gruyère a désormais la teneur suivante : « 1. B.________ est reconnu coupable de faux dans les titres (art. 251 CP). 2. B.________ est condamné à une peine pécuniaire de 20 jours-amende, avec sursis. Le montant du jour-amende est fixé à CHF 30.00. Cette peine est complémentaire à celle prononcée le 24 mars 2021 par le Ministère public du Jura bernois-Seeland, Agence Moutier, à une peine pécuniaire de 20 jours-amende à CHF 80.-. 3. Le sursis accordé le 23 septembre 2015 par le Tribunal correctionnel de la Broye et du Nord vaudois n’est pas révoqué. 4. Le solde du compte à hauteur de CHF 15’950. 12 n° ccc, bloqué le 31 juillet 2020 est confisqué et remis à la banque D.________ à titre de remboursement partiel du crédit COVID-19. 5. Le blocage des comptes D.________ n° ccc, n° fff et n° eee est levé. 6. Les frais de procédure sont mis à la charge de B.________. Ils s’élèvent à CHF 420.- pour l’émolument de justice et à CHF 120.- pour les débours, soit CHF 540.- au total. 7. L’indemnité allouée au défenseur d’office de B.________ s’élève à CHF 1'261.55. En application de l’article 135 alinéa 4 CPP, B.________ sera tenu de rembourser ce montant à l’Etat dès que sa situation financière le permettra. 8. En application de l’article 430 alinéa 1 lettre a CPP, aucune indemnité n’est octroyée à B.________. » II. Les frais judiciaires d’appel sont mis à la charge de B.________. Ils comprennent un émolument de CHF 1'000.- et les débours forfaitaires par CHF 100.- et s’élèvent ainsi au total à CHF 1'100.-. III. Aucune indemnité n’est octroyée à B.________. IV. L’indemnité allouée au défenseur d’office de B.________ s’élève à CHF 1'448.50. En application de l’article 135 alinéa 4 CPP, B.________ sera tenu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14 de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Décembre 2022/ebe Le Président : La Greffière-rapporteure :</w:t>
      </w:r>
    </w:p>
    <w:p>
      <w:r>
        <w:rPr>
          <w:b/>
        </w:rPr>
        <w:t>E. 11</w:t>
      </w:r>
    </w:p>
    <w:p>
      <w:r>
        <w:t>al. 2). A réception de la demande, la banque vérifie si le requérant est client et s'il remplit les conditions pour bénéficier d'un crédit COVID-19 sur les seules bases des informations communiquées dans le formulaire idoine. La législation ne prévoit aucune autre mesure de contrôle. Si elle estime les conditions réalisées, la banque adresse le formulaire valant convention de crédit à l’organisation de cautionnement partenaire. Une fois cette opération effectuée, le cautionnement est considéré comme approuvé et la banque peut mettre les fonds à disposition immédiatement (art. 3 al. 3). La libération des fonds du crédit COVID-19 entraîne l’entrée en vigueur du cautionnement. Aux termes de I'OCaS-COVID-19, les liquidités obtenues doivent uniquement servir à la poursuite de l’activité commerciale opérationnelle, respectivement ses besoins courants (art. 6 al. 1), comme les frais de location ou de matériel encourus. A cet égard, la loi prohibe expressément l'utilisation du crédit COVID-19 pour de nouveaux investissements en actifs immobilisés (art. 6 al. 2 let. b), la distribution de dividendes et de tantièmes ainsi que le remboursement d'apports de capital (art. 6 al. 3 let. a), l'octroi de prêts actifs ou le refinancement de prêts à des actionnaires ou à des proches revêtant la forme de prêts actifs (6 al. 3 let. b), des prêts intragroupes (art. 6 al. 3 let. c) ou encore</w:t>
      </w:r>
    </w:p>
    <w:p>
      <w:r>
        <w:t>Tribunal cantonal TC Page 6 de 14 le transfert de fonds à une société du groupe n'ayant pas son siège en Suisse liée directement ou indirectement au requérant (art. 6 al. 3 let. d). 2.2. L'article 251 chiffre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L'article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TF arrêt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Ainsi, par exemple, un formulaire A, simple déclaration écrite non sujette à vérification, dont le contenu est inexact quant à la personne de l'ayant-droit économique, constitue un faux dans les titres au sens de l'art. 251 CP (TF arrêts 6B_383/2019 du 8 novembre 2019 consid. 8.3.3.2 non publié aux ATF 145 IV 470 ; 6B_261/2020 du 10 juin 2020 consid. 4.2 ; 6B_891/2018 du 31 octobre 2018 consid. 3.3.1).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ATF 120 IV 25 consid. 3f p. 29). Le fait qu'un contrat de vente au contenu faux ait été rédigé par le fiduciaire du vendeur ne suffit pas à lui conférer une valeur probante accrue (ATF 146 IV 258 consid. 1.2.4 p. 265).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 15). L'article 251 CP exige de surcroît un dessein spécial, qui peut se présenter sous deux formes alternatives, soit le dessein de porter atteinte aux intérêts pécuniaires ou aux droits d'autrui ou le dessein de se procurer ou de</w:t>
      </w:r>
    </w:p>
    <w:p>
      <w:r>
        <w:t>Tribunal cantonal TC Page 7 de 14 procurer à un tiers un avantage illicite (ATF 138 IV 130 consid. 3.2.4 ; TF arrêt 6B_736/2016 du 9 juin 2017 consid. 2.1 et les références). L'avantage recherché, respectivement l'atteinte, doit précisément résulter de l'usage du titre faux, respectivement mensonger (ATF 141 IV 369 consid. 7.4 p. 377 ; 138 IV 130 consid. 3.2.4 p. 141 ; TF arrêt 6B_496/2017 du 24 janvier 2018 consid. 2.2). La notion d'avantage est très large. Elle vise tout type d'avantage, d'ordre matériel ou immatériel, qui peut être destiné à l'auteur lui-même ou à un tiers (ATF 129 IV 53 consid. 3.5 p. 60 ; TF arrêt 6B_116/2017 du 9 juin 2017 consid. 2.2.3).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270s ; TF arrêts 6B_891/2018 du 31 octobre 2018 consid. 3.5.1 ; 6B_116/2017 du 9 juin 2017 consid. 2.2.3). L'illicéité peut donc être déduite du seul fait que l'auteur recourt à un faux (TF arrêts 6B_441/2016 du 29 mars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