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106 vom 3. Februar 2023</w:t>
      </w:r>
    </w:p>
    <w:p>
      <w:r>
        <w:t>FR Kantonsgericht, 2023-02-03, FR</w:t>
      </w:r>
    </w:p>
    <w:p>
      <w:r>
        <w:rPr>
          <w:b/>
        </w:rPr>
        <w:t xml:space="preserve">Quelle: </w:t>
      </w:r>
      <w:r>
        <w:t>https://mcp.opencaselaw.ch/entscheid/fr_gerichte_501_2022_106</w:t>
      </w:r>
    </w:p>
    <w:p>
      <w:r>
        <w:t>FR: FR_GERICHTE 501 2022 106 du 3 février 2023</w:t>
      </w:r>
    </w:p>
    <w:p>
      <w:r>
        <w:t>IT: FR_GERICHTE 501 2022 106 del 3 febbraio 2023</w:t>
      </w:r>
    </w:p>
    <w:p>
      <w:pPr>
        <w:pStyle w:val="Heading2"/>
      </w:pPr>
      <w:r>
        <w:t>Regeste</w:t>
      </w:r>
    </w:p>
    <w:p>
      <w:r>
        <w:t>Arrêt de la Cour d'appel pénal du Tribunal cantonal | Strafrecht</w:t>
      </w:r>
    </w:p>
    <w:p>
      <w:pPr>
        <w:pStyle w:val="Heading2"/>
      </w:pPr>
      <w:r>
        <w:t>Erwägungen</w:t>
      </w:r>
    </w:p>
    <w:p>
      <w:r>
        <w:rPr>
          <w:b/>
        </w:rPr>
        <w:t>E. 1.1</w:t>
      </w:r>
    </w:p>
    <w:p>
      <w:r>
        <w:t>A.________ a annoncé l'appel le 11 mai 2022. Le jugement intégralement rédigé lui a été notifié le 13 juin 2022. Remise à la poste le 4 juillet 2022, la déclaration d'appel a donc été interjetée en temps utile, soit dans le cadre du délai de 20 jours de l'art. 399 al. 3 CPP. Prévenu condamné, A.________ a la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Le prévenu ne conteste en appel que la mesure thérapeutique institutionnelle en milieu fermé qui a été prononcée à son encontre (ch. 6 du dispositif). Dans la mesure où les autres éléments du dispositif ne sont pas contestés, le jugement du 5 mai 2022 est entré en force sur ces points (art. 399 al. 4 et 402 a contrario CPP).</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ne sollicite l'administration d'aucun moyen de preuve complémentaire. De son côté, la Cour ne voit pas de motif d'aller au-delà de l'interrogatoire du prévenu sur les faits et sur sa situation personnelle.</w:t>
      </w:r>
    </w:p>
    <w:p>
      <w:r>
        <w:rPr>
          <w:b/>
        </w:rPr>
        <w:t>E. 2</w:t>
      </w:r>
    </w:p>
    <w:p>
      <w:r>
        <w:t>L'appelant conteste la mesure thérapeutique institutionnelle qui a été prononcée à son encontre. Il fait valoir que son état psychique s'est amélioré et qu'une mesure ambulatoire serait suffisante pour la suite de son traitement, dont il ne conteste pas la nécessité. Il ajoute qu'en raison de sa durée</w:t>
      </w:r>
    </w:p>
    <w:p>
      <w:r>
        <w:t>Tribunal cantonal TC Page 4 de 10 indéterminée, la mesure institutionnelle le prive de toute perspective de sortie, ce qui est angoissant. Enfin, il relève qu'aucune expertise récente ne permet de confirmer la nécessité d'une mesure institutionnelle.</w:t>
      </w:r>
    </w:p>
    <w:p>
      <w:r>
        <w:rPr>
          <w:b/>
        </w:rPr>
        <w:t>E. 2.1</w:t>
      </w:r>
    </w:p>
    <w:p>
      <w:r>
        <w:t>et les références). Toute anomalie mentale au sens médical très large ne remplit pas les conditions d'un grave trouble mental au sens de l'art. 59 al. 1 CP. Seuls les états psychopathologiques d'un certain degré de gravité ou les types et formes relativement graves de maladies mentales au sens médical répondent aux exigences (ATF 146 IV 1 consid. 3.5.2). La notion juridique ne repose pas uniquement sur des critères médicaux, elle doit aussi être définie en fonction du contexte juridique. Les investigations diagnostiques de l'expert psychiatre doivent être mises en relation avec la délinquance. L'infraction doit apparaître en quelque sorte comme un symptôme de l'état dont il est question. Ce n'est que si le trouble mental diagnostiqué se manifeste par un comportement délictueux et par un risque de récidive que le but de la mesure thérapeutique peut être atteint. L'objet de la mesure est une thérapie dont le but est de réduire le risque de nouvelles infractions en relation avec le trouble de l'auteur, à savoir d'améliorer le pronostic légal. Une amélioration de l'état de santé n'est pénalement pertinente que dans la mesure où elle sert à la prévention des infractions et la réinsertion de l'auteur. Les thérapies spécifiques, qui ne traitent qu'indirectement le trouble sont également couvertes par cet objectif de la mesure, comme par exemple l'entraînement à des comportements alternatifs évitant la violence dans les situations de conflit. Plus les dysfonctionnements sont nombreux dans d'autres domaines de la vie, plus il est probable que des traits de personnalité pathologiques stables soient présents, dont la relation avec l'infraction doit alors être examinée. Le trouble doit, dans la mesure du possible, être catalogué en se fondant sur une classification reconnue, étant précisé que, dans les cas où le diagnostic de l'expert n'entre pas dans la codification de l'ICD ou du DSM, un diagnostic sûr de grave trouble mental est néanmoins possible s'il peut être garanti qu'il repose de manière déterminante sur des facteurs de risque liés à la personnalité et pertinents du point de vue délictuel et du risque de récidive et qui sont accessibles à une thérapie de réduction du risque de récidive. La gravité du trouble exigée par le droit des mesures résulte de l'intensité du lien entre le trouble (médicalement important) et l'infraction. Un diagnostic ne peut être pris isolément et considéré per se comme suffisamment ou insuffisamment grave (ATF 146 IV 1 consid. 3.5; arrêt TF 6B_995/2020 du 5 mai 2021 consid. 4.1.3).</w:t>
      </w:r>
    </w:p>
    <w:p>
      <w:r>
        <w:rPr>
          <w:b/>
        </w:rPr>
        <w:t>E. 2.1.1</w:t>
      </w:r>
    </w:p>
    <w:p>
      <w:r>
        <w:t>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 TF 1243/2017 du 13 mars 2018 consid. 1.1). Le risque de récidive doit être concret et hautement probable, c'est-à-dire résulter de l'appréciation d'une série de circonstances. Il vise cette fois la dangerosité interne du prévenu. Ce sera, par exemple, le cas d'un condamné qui profère des menaces bien précises ou qui combat sciemment l'ordre de l'établissement; en revanche, l'art. 59 al. 3 CP ne devrait pas s'appliquer à de simples difficultés de comportement ou à l'insoumission vis-à-vis des employés de l'établissement. Savoir si le risque est qualifié est une question juridique. Toutefois les questions psychiatrique et juridique sont souvent difficiles à distinguer en pratique. La tâche principale d'une expertise médicolégale est de clarifier l'état psychique de l'intéressé et de poser un pronostic. Le juge ne peut s'écarter de l'appréciation d'une expertise que pour des motifs déterminants (arrêt TF 1243/2017 du 13 mars 2018 consid. 1.1 et les références). Lors de l'examen du risque de récidive, il convient de tenir compte de la nature et de la gravité des actes commis et à prévoir, de l'imminence et de l'étendue du danger, ainsi que de la nature et de l'importance du bien juridique menacé (arrêt 6B_486/2019 du 12 juin 2019 consid. 1.2).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À cet égard, il convient de ne pas perdre de vue qu'il est par définition aléatoire et difficile d'évaluer le degré de dangerosité d'un individu. Mais, s'agissant de la décision sur le pronostic, le principe "in dubio pro reo" n'est pas applicable (arrêt TF 6B_1182/2017 du 12 avril 2018 consid. 3.5).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(arrêt TF 6B_804/2011 du 14 février 2012 consid. 1.1.2).</w:t>
      </w:r>
    </w:p>
    <w:p>
      <w:r>
        <w:t>Tribunal cantonal TC Page 5 de 10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w:t>
      </w:r>
    </w:p>
    <w:p>
      <w:r>
        <w:rPr>
          <w:b/>
        </w:rPr>
        <w:t>E. 2.1.2</w:t>
      </w:r>
    </w:p>
    <w:p>
      <w:r>
        <w:t>Selon la jurisprudence,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La possibilité vague d'une diminution du risque ou l'espoir d'une diminution seulement minimale de ce risque ne sont en revanche pas suffisants.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(arrêt TF 6B_817/2021 du 30 mars 2022 consid.</w:t>
      </w:r>
    </w:p>
    <w:p>
      <w:r>
        <w:rPr>
          <w:b/>
        </w:rPr>
        <w:t>E. 2.1.3</w:t>
      </w:r>
    </w:p>
    <w:p>
      <w:r>
        <w:t>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 mesure ne doit être ordonnée qu'à titre d'ultime ratio lorsque la dangerosité existante ne peut être écartée autrement (TF 6B_457/2007 du 12 novembre 2007 consid. 5.2).</w:t>
      </w:r>
    </w:p>
    <w:p>
      <w:r>
        <w:t>Tribunal cantonal TC Page 6 de 10 La question de savoir si le placement doit s'effectuer en milieu fermé ou non relève, à l'instar du choix de l'établissement où s'effectuera la mesure, de la compétence de l'autorité d'exécution. Celle- ci ne peut cependant déroger sans une raison impérative aux évaluations des experts et aux considérations de l'autorité de jugement (arrêt TF 6B_468/2016 du 7 septembre 2016 consid. 2.4). Dès lors, si un placement en milieu fermé apparaît déjà nécessaire au moment du prononcé du jugement, le juge peut et doit l'indiquer dans les considérants – mais non dans le dispositif – en traitant des conditions de l'art. 59 al. 3 CP (ATF 142 IV 1 consid. 2.4.4 et 2.5).</w:t>
      </w:r>
    </w:p>
    <w:p>
      <w:r>
        <w:rPr>
          <w:b/>
        </w:rPr>
        <w:t>E. 2.2</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Dans ce cadre, l'expert devra se prononcer, en particulier, sur la forme du traitement et la mesure qui lui semble la plus appropriée. Il incombe cependant au juge de déterminer si une mesure doit être ordonnée et, cas échéant, laquelle. En effet, ce n'est pas à l'expert, mais bien au juge qu'il appartient de résoudre les questions juridiques qui se posent, dans le complexe de faits faisant l'objet de l'expertise.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2.3.1, arrêt TF 6B_690/2022 du 13 juillet 2022 consid. 1.2).</w:t>
      </w:r>
    </w:p>
    <w:p>
      <w:r>
        <w:rPr>
          <w:b/>
        </w:rPr>
        <w:t>E. 2.3</w:t>
      </w:r>
    </w:p>
    <w:p>
      <w:r>
        <w:t>En l'espèce, il ressort de l'expertise du 12 janvier 2021 (DO 4241) que le prévenu souffre d'une schizophrénie paranoïde (F 20.0 selon la CIM 10). L'examen médical de l'expertisé, quelques heures après les évènements lors de son admission à la prison, montrait qu'il présentait alors un état de décompression psychotique grave, avec désorganisation mentale, délire de persécution, hallucinations auditives et automatisme mental à thème sexuel (DO 4253, 4107). Selon les experts, de toute évidence, le facteur principal d'une récidive éventuelle apparaît comme étant le même que celui ayant été le facteur principal du passage à l'acte, à savoir la maladie mentale chronique dont il souffre. Un facteur de mauvais pronostic est la persistance d'un délire de persécution et d'une certaine désorganisation de la pensée malgré un traitement régulier. Il faut y ajouter des facteurs secondaires non négligeables, à savoir une total désinsertion sociale, un niveau d'éducation faible, l'absence de soutien familial en Suisse et l'absence de possibilité professionnelle. Les experts estiment ainsi que le risque de récidive d'actes de violence, sexuelles et physiques, à l'égard d'autrui apparaît élevé (DO 4255, 4258). Ils précisent enfin que la fiabilité de cette appréciation apparaît élevée (DO 4258 ad 3.4). La condition relative au risque de récidive concret et hautement probable apparaît ainsi donnée. Après avoir relevé que les troubles constatés au moment des faits persistent et qu'il existe un rapport de causalité adéquate entre les faits et le trouble psychique constaté (DO 4258 ad. 4.1 et DO 4259 ad. 4.3), les experts exposent qu'il existe un traitement pour le trouble constaté. Il s'agit d'un traitement de nature médicamenteuse et psychothérapeutique, avec prise en charge institutionnelle. Ils ajoutent que le traitement médicamenteux est un traitement à vie et que la prise en charge institutionnelle devra durer aussi longtemps que persistera un risque hétéro-agressif (DO 4259 ad. 4.4). Ils précisent à cet égard que les actes reprochés à l'expertisé ayant été commis sous l'influence directe d'une maladie mentale, il apparaît justifié de mettre en œuvre un traitement médico-</w:t>
      </w:r>
    </w:p>
    <w:p>
      <w:r>
        <w:t>Tribunal cantonal TC Page 7 de 10 psychiatrique susceptible d'atténuer les effets de cette pathologie et donc de diminuer le risque de récidive. Quant à la prise en charge institutionnelle, elle est commandée par l'absence de toute intégration sociale de l'expertisé et un risque de récidive élevé, ce qui exclut tout traitement ambulatoire (DO 4255). L'expertise a certes été établie en janvier 2021, mais dans la mesure où les mesures préconisées ne laissent entrevoir des perspectives d'amélioration de l'état psychique du prévenu que dans la durée, il n'était pas nécessaire d'ordonner en l'état une nouvelle expertise psychiatrique. Cela l'était d'autant moins que les médecins traitants actuels du prévenu au sein de l'établissement fermé Curabilis préconisent le maintien de la mesure institutionnelle. S'agissant de la vraisemblance qu'un traitement institutionnel entraînera dans les cinq ans de sa durée normale une réduction nette du risque de récidive, les experts indiquent que la prise en charge institutionnelle de patients souffrant de schizophrénie paranoïde relève de procédures bien établies et permet habituellement une stabilisation, voire une amélioration progressive de l'état psychique des patients. Ils en concluent que la prise en charge institutionnelle fermée n'apparaît pas vouée à l'échec (DO 5256 et DO 4259 ad. 4.4). Ils ajoutent que, si la mesure conseillée est ordonnée, il faut espérer une réduction des phénomènes hallucinatoires et délirants, et une réorganisation de la pensée avec possibilité d'intégration sociale et professionnelle progressive (DO 4259 ad. 4.5). Lors des débats de première instance, A.________, qui était volontairement en exécution anticipée de mesure institutionnelle depuis le 21 juin 2021, soit depuis plus d’une année, a par ailleurs fait les déclarations suivantes: "Actuellement, je suis en exécution anticipée de mesures. Grâce au traitement cela se passe bien. J’ai des médicaments à prendre. Je suis également suivi par un psychiatre que je vois une fois toutes les trois semaines. Je me sens beaucoup mieux depuis que je suis ce traitement" (DO 600040). Il a ajouté: "Je suis conscient que la mesure que j’exécute actuellement de manière anticipée va pouvoir durer des mois voire des années et je suis d’accord de continuer cette mesure car ça m’aide beaucoup" (DO 600044). Il a confirmé cette position lors de son audition par-devant la Cour de céans. On peut conclure de ces déclarations que la mesure préconisée par les experts déploie déjà certains effets et que le pronostic très réservé des experts semble se réaliser. La mesure préconisée et exécutée de manière anticipée respecte par conséquent les exigences de proportionnalité. Les experts relèvent que le traitement institutionnel préconisé devra consister en une prise en charge médicamenteuse et psychothérapique, au sens d'une thérapie institutionnelle comprenant une prise en charge pluridisciplinaire et des activités d'insertion sociale, et prendre en compte la dangerosité de l'expertisé et la nécessité de préserver la sécurité publique. De ce fait, au regard du risque de récidive élevé, les experts concluent que la mesure institutionnelle devra avoir lieu en milieu fermé (DO 4255-4256), une mesure institutionnelle en milieu fermé étant la mesure de droit pénal la plus apte à diminuer le risque de récidive (DO 4259 ad. 4.5). Cette appréciation rejoint celle émise par les médecins de l'établissement fermé Curabilis dans leur rapport de comportement du 26 janvier 2023. Par ailleurs, tant le Ministère public que le prévenu lui-même ont requis qu’une telle mesure soit instituée dans leurs conclusions finales (DO 600051). Lors des débats de première instance, A.________ a déclaré expressément qu'il était d'accord de continuer la mesure institutionnelle qu'il exécute actuellement de manière anticipée (DO 600044). On ne comprend dès lors pas pour quelle raison il a décidé de faire appel sur ce point. Lors des débats d'appel, le prévenu a exposé à cet égard, d'une part, qu'il avait changé d'avis "parce que d'autres personnes m'ont dit que j'ai droit de faire appel", et, d'autre part, qu'il accepte de se soigner et que, depuis qu'il se trouve dans l'établissement fermé Curabilis, il est d'accord d'y rester, ajoutant cependant immédiatement après: "Je veux guérir mais je demande aussi à être en liberté". Il ressort de ce qui précède que la pensée</w:t>
      </w:r>
    </w:p>
    <w:p>
      <w:r>
        <w:t>Tribunal cantonal TC Page 8 de 10 du prévenu reste largement incohérente et qu'il semble être tiraillé entre la reconnaissance que le traitement médicamenteux et psychothérapeutique qu'il suit a des effets positifs, et la nécessité d'avoir une perspective de sortie.</w:t>
      </w:r>
    </w:p>
    <w:p>
      <w:r>
        <w:rPr>
          <w:b/>
        </w:rPr>
        <w:t>E. 2.4</w:t>
      </w:r>
    </w:p>
    <w:p>
      <w:r>
        <w:t>Dans ces circonstances, eu égard à la maladie mentale sévère dont souffre A.________, maladie qui est en relation directe avec les faits qui ont été retenus à sa charge, et au risque de récidive important retenu par l'expert, la Cour de céans aboutit à la même conclusion que celle retenue par les premiers juges. Elle ordonne par conséquent, conformément aux art. 56, 57 et 59 CP, en faveur de A.________, une mesure thérapeutique institutionnelle telle que préconisée par l’expert psychiatre. Elle se rallie au surplus aux considérants des premiers juges exposant pour quelles raisons cette mesure devait être exécutée en milieu fermé. En revanche, il ne leur appartenait pas d'apporter cette précision dans le dispositif de leur jugement, cette décision relevant des autorités d'exécution. Le placement du prévenu dans un établissement fermé conformément à l'art. 59 al. 3 CP est en effet un question d'exécution, qui doit en principe être jugée par les autorités d'exécution (ATF 142 IV 1 consid. 2.5). Il convient dès lors de corriger ce point d'office et de supprimer cette précision dans le dispositif. On précisera également à cet égard qu'il appartiendra aux autorités d'exécution d'examiner régulièrement dans quelle mesure le placement du prévenu en établissement fermé pourra être allégé et de lui offrir de la sorte les perspectives qui lui font défaut à l'heure actuelle. Compte tenu de ce qui précède, l'appel est rejeté.</w:t>
      </w:r>
    </w:p>
    <w:p>
      <w:r>
        <w:rPr>
          <w:b/>
        </w:rPr>
        <w:t>E. 3.1</w:t>
      </w:r>
    </w:p>
    <w:p>
      <w:r>
        <w:t>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compte tenu du fait que l'appel ne portait que sur la mesure thérapeutique institutionnelle ordonnée, alors que la condamnation pour lésions corporelles graves et délit à la loi fédérale sur les étrangers et l'intégration et la quotité de la peine n'étaient pas contestés, il y a lieu de s'en tenir à la répartition des frais de procédure de première instance retenue par les premiers juges. En effet, le traitement de cette question n’a pas eu d’incidence sur l’ampleur de l’instruction et le déroulement de la procédure. Quant aux frais de deuxième instance, compte tenu du sort de l’appel, il se justifie de les mettre à la charge du prévenu. Les frais de procédure d’appel sont fixés à CHF 2’200.- (émolument : CHF 2'000.- ; débours : CHF 200.-). 5.2. 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w:t>
      </w:r>
    </w:p>
    <w:p>
      <w:r>
        <w:t>Tribunal cantonal TC Page 9 de 10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7.7 % (art. 25 al. 1 de la loi du 12 juin 2009 sur la TVA [LTVA ; RS 641.20]). Me David Aïoutz indique avoir consacré à la défense de son client en appel, une durée de 23 heures et 25 minutes. La Cour réduit de 3 heures la durée de la prise de connaissance du dossier dès lors que seule la mesure thérapeutique institutionnelle était contestée, et d'une heure la durée prévisionnelle des opérations d'explication de l'arrêt de la Cour au client. Elle adapte en outre la durée indiquée pour la séance du 3 févreir 2023 à sa durée effective. Un total de 18 heures sera admis, correspondance usuelle comprise. Au tarif de CHF 180.- l’heure, après adjonction des débours, de quatre vacations à l'établissement pénitentiaire de Bellechasse, de deux vacations en ville de Fribourg, et d'une vacation à l'établissement fermé Curabilis, et de la TVA, l'indemnité de défenseur d'office allouée à Me David Aïoutz s'élève à CHF 4'577.25, TVA comprise. Pour le détail, il est renvoyé à la feuille de calcul annexée au présent arrêt. A.________ sera tenu de rembourser ce montant dès que sa situation financière le permettra (art. 135 al. 4 et 426 al. 4 CPP). (dispositif en page suivante)</w:t>
      </w:r>
    </w:p>
    <w:p>
      <w:r>
        <w:t>Tribunal cantonal TC Page 10 de 10 la Cour arrête : I. L’appel de A.________ est rejeté. Le chiffre 6 du jugement du Tribunal pénal de l'arrondissement de la Glâne du 5 mai 2022 est modifié d'office. Il a dorénavant la teneur suivante:</w:t>
      </w:r>
    </w:p>
    <w:p>
      <w:r>
        <w:rPr>
          <w:b/>
        </w:rPr>
        <w:t>E. 6</w:t>
      </w:r>
    </w:p>
    <w:p>
      <w:r>
        <w:t>Il est ordonné, conformément aux art. 56, 57 et 59 CP, à l’encontre de A.________, une mesure thérapeutique institutionnelle, telle que préconisée par l’expert psychiatre. L’exécution de la peine privative de liberté est suspendue au profit de la mesure thérapeutique institutionnelle précitée. II. Les frais de la procédure d'appel, hors indemnités du défenseur d'office, sont fixés à CHF 2'200.- (émolument CHF 2'000.-; débours CHF 200.-). Ils sont mis à la charge de A.________. III. L'indemnité de défenseur d'office de A.________ due à Me David Aïoutz pour l'appel est fixée à CHF 4'577.25, TVA par CHF 327.25 comprise. En application des art. 135 al. 4 et 426 al. 4 CPP, A.________ sera astreint à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3 février 2023 La Vice-Présidente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