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2022 102 vom 1. September 2022</w:t>
      </w:r>
    </w:p>
    <w:p>
      <w:r>
        <w:t>FR Kantonsgericht, 2022-09-01, FR</w:t>
      </w:r>
    </w:p>
    <w:p>
      <w:r>
        <w:rPr>
          <w:b/>
        </w:rPr>
        <w:t xml:space="preserve">Quelle: </w:t>
      </w:r>
      <w:r>
        <w:t>https://mcp.opencaselaw.ch/entscheid/fr_gerichte_501_2022_102</w:t>
      </w:r>
    </w:p>
    <w:p>
      <w:r>
        <w:t>FR: FR_GERICHTE 501 2022 102 du 1 septembre 2022</w:t>
      </w:r>
    </w:p>
    <w:p>
      <w:r>
        <w:t>IT: FR_GERICHTE 501 2022 102 del 1 settembre 2022</w:t>
      </w:r>
    </w:p>
    <w:p>
      <w:pPr>
        <w:pStyle w:val="Heading2"/>
      </w:pPr>
      <w:r>
        <w:t>Regeste</w:t>
      </w:r>
    </w:p>
    <w:p>
      <w:r>
        <w:t>Arrêt de la Cour d'appel pénal du Tribunal cantonal | Strafrecht</w:t>
      </w:r>
    </w:p>
    <w:p>
      <w:pPr>
        <w:pStyle w:val="Heading2"/>
      </w:pPr>
      <w:r>
        <w:t>Erwägungen</w:t>
      </w:r>
    </w:p>
    <w:p>
      <w:r>
        <w:rPr>
          <w:b/>
        </w:rPr>
        <w:t>E. 30</w:t>
      </w:r>
    </w:p>
    <w:p>
      <w:r>
        <w:t>juin 2022 (art. 403 al. 1 let. c CPP); que par surabondance, la Cour observe que les prétentions de l'Etat employeur envers un collaborateur sont régies par les art. 1 et 10 de la Loi du 16 septembre 1986 sur la responsabilité civile des collectivités publiques et de leurs agents (LResp; RSF 16.1) et doivent faire l'objet d'une décision prise par l'autorité d'engagement (art. 13 LResp), conformément aux règles de la procédure administrative; que B.________ était employée comme E.________ auprès de l'Etat de Fribourg au moment des faits allégués; que les manipulations ou suppressions de données que A.________ lui reproche l'ont été dans le cadre de son activité de E.________ et qu'indépendamment de son cahier des charges, il est évident que B.________ avait accès au logiciel contenant les données pour effectuer son travail quotidien, notamment pour gérer la réception et la planification des rendez-vous de la clientèle; que l'on se trouve dans un pur rapport de droit public, dans lequel un agent répond envers la collectivité publique du dommage qu'il lui cause directement en violant intentionnellement ou par négligence grave ses devoirs de fonctions (art. 10 LResp); que les prétentions relevant par nature du droit public échappent au champ d'application des conclusions civiles au sens de l'art. 122 CPP (CR-CPP, 2e édition, 2019, art. 122 n.19); qu'il s'ensuit que les conclusions civiles émises par A.________ sont irrecevables; que les frais d'appel sont fixés à CHF 500.- (émolument: CHF 450.-, débours: CHF 50.-) et sont mis à la charge de l'Etat de Fribourg, qui succombe (art. 428 al. 1 CPP); qu'il est renoncé à octroyer une indemnité de défenseur d'office à Me Bersier, celui-ci n'étant pas intervenu en appel; (dispositif page suivante)</w:t>
      </w:r>
    </w:p>
    <w:p>
      <w:r>
        <w:t>Tribunal cantonal TC Page 5 de 5 la Cour arrête: I. Il n'est pas entré en matière sur l'appel de A.________. II. Les frais d'appel sont fixés à CHF 500.- (émolument: CHF 450.-, débours: CHF 50.-). Ils sont mis à la charge de l'Etat de Fribourg. III. Il n'est pas alloué d'indemnité de défenseur d'office à Me Eric Bersier, défenseur d'office de B.________.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1er septembre 2022/cst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