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44 vom 15. Juli 2021</w:t>
      </w:r>
    </w:p>
    <w:p>
      <w:r>
        <w:t>FR Kantonsgericht, 2021-07-15, FR</w:t>
      </w:r>
    </w:p>
    <w:p>
      <w:r>
        <w:rPr>
          <w:b/>
        </w:rPr>
        <w:t xml:space="preserve">Quelle: </w:t>
      </w:r>
      <w:r>
        <w:t>https://mcp.opencaselaw.ch/entscheid/fr_gerichte_501_2021_44</w:t>
      </w:r>
    </w:p>
    <w:p>
      <w:r>
        <w:t>FR: FR_GERICHTE 501 2021 44 du 15 juillet 2021</w:t>
      </w:r>
    </w:p>
    <w:p>
      <w:r>
        <w:t>IT: FR_GERICHTE 501 2021 44 del 15 luglio 2021</w:t>
      </w:r>
    </w:p>
    <w:p>
      <w:pPr>
        <w:pStyle w:val="Heading2"/>
      </w:pPr>
      <w:r>
        <w:t>Regeste</w:t>
      </w:r>
    </w:p>
    <w:p>
      <w:r>
        <w:t>Arrêt de la Cour d'appel pénal du Tribunal cantonal | Strafrecht</w:t>
      </w:r>
    </w:p>
    <w:p>
      <w:pPr>
        <w:pStyle w:val="Heading2"/>
      </w:pPr>
      <w:r>
        <w:t>Erwägungen</w:t>
      </w:r>
    </w:p>
    <w:p>
      <w:r>
        <w:rPr>
          <w:b/>
        </w:rPr>
        <w:t>E. 15</w:t>
      </w:r>
    </w:p>
    <w:p>
      <w:r>
        <w:t>décembre 2020, à son encontre, l’a reconnu coupable de contraventions à la loi sur les réclames (LRec) et de contravention à loi d’application du code pénal (LACP) et l’a condamné au paiement d'une amende de CHF 400.-. En revanche, elle l’a acquitté de l’infraction d’insoumission à une décision de l’autorité au sens de l’art. 292 CP. De plus, les 66 tracts, 17 lettres au MP et 10 lettres à qui de droit séquestrés le 22 décembre 2018 ont été confisqués et seront détruits. Toute éventuelle requête d’indemnité au sens de l’art. 429 CPP a été rejetée d’office. Enfin, la Juge de police a mis les frais de procédure à la charge de A.________ à raison des 4/5, le solde étant laissé à la charge de l’Etat. Il est reproché à A.________ les faits suivants (cf. jugement attaqué, p. 3 ss): 1. En date du 22 décembre 2018, à 13h40, A.________ a apposé une affiche intitulée « Fribourg, des autorités politiques sont devenues les commanditaires d’un assassinat » sur le bâtiment sis Rue de l’Hôtel-de-Ville 11, à Estavayer-le-Lac. Diverses affiches et courriers ont été découverts dans la voiture de l’intéressé et séquestrés le même jour. Lors de leur patrouille, les agents ont observé qu’un total de 8 affiches avaient été apposées en divers lieux d’Estavayer. Pour ces faits, A.________ a été reconnu coupable de contravention aux art. 5 al. 1 let. c et</w:t>
      </w:r>
    </w:p>
    <w:p>
      <w:r>
        <w:rPr>
          <w:b/>
        </w:rPr>
        <w:t>E. 16</w:t>
      </w:r>
    </w:p>
    <w:p>
      <w:r>
        <w:t>janvier 2020). 3. A.________ est reconnu coupable de contravention à la loi sur les réclames (faits du 11 décembre 2018). 4. En application des art. 5 et 16 LRec, 47, 105 al. 1 et 106 CP, A.________ est condamné au paiement d'une amende de CHF 200.-.</w:t>
      </w:r>
    </w:p>
    <w:p>
      <w:r>
        <w:t>Tribunal cantonal TC Page 8 de 8 Sur demande écrite adressée au Tribunal de l'arrondissement de la Broye dans un délai de 30 jours, A.________ peut demander à remplacer le paiement de l’amende par l’exécution de la peine sous forme de travail d’intérêt général (à savoir 16 heures). Les frais de procédure ne peuvent en revanche pas être remplacés par du travail d’intérêt général. Les modalités d’exécution seront réglées ultérieurement par le Service de l’exécution des sanctions pénales et de la probation. En cas de non-paiement de l'amende dans le délai qui sera fixé dans la liste de frais et si celle-ci est inexécutable par la voie de la poursuite pour dettes, elle fera place à 4 jours de peine privative de liberté (art. 105 al. 1, 106 al. 2 CP). 5. En application de l’art. 69 CP, les 66 tracts, 17 lettres au MP et 10 lettres à qui de droit séquestrés le 22 décembre 2018 sont confisqués et seront détruits. 6. Toute éventuelle requête d’indemnité au sens de l’art. 429 CPP est rejetée d’office. 7. En application des art. 421 et 426 CPP, les frais de procédure sont mis à la charge de A.________ à raison de 1/3, le solde étant laissé à la charge de l’Etat. Compte tenu de la motivation écrite, ils sont fixés à CHF 700.- pour l'émolument de justice et à CHF 170.- pour les débours en l’état, sous réserve d’éventuelles opérations ou factures complémentaires, soit CHF 870.- au total. II. En application de l’art. 428 al. 1 CPP, la moitié des frais de procédure d’appel est mise à la charge de A.________, le solde étant laissé à la charge de l’Etat. Ils sont fixés à CHF 1’100.- (émolument: CHF 1’000.-; débours: CHF 100.-). III. Aucune indemnité ne sera octroyée sur la base de l’art. 429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juillet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