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21 vom 5. Mai 2021</w:t>
      </w:r>
    </w:p>
    <w:p>
      <w:r>
        <w:t>FR Kantonsgericht, 2021-05-05, FR</w:t>
      </w:r>
    </w:p>
    <w:p>
      <w:r>
        <w:rPr>
          <w:b/>
        </w:rPr>
        <w:t xml:space="preserve">Quelle: </w:t>
      </w:r>
      <w:r>
        <w:t>https://mcp.opencaselaw.ch/entscheid/fr_gerichte_501_2021_21</w:t>
      </w:r>
    </w:p>
    <w:p>
      <w:r>
        <w:t>FR: FR_GERICHTE 501 2021 21 du 5 mai 2021</w:t>
      </w:r>
    </w:p>
    <w:p>
      <w:r>
        <w:t>IT: FR_GERICHTE 501 2021 21 del 5 maggio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art. 389 n. 5). La Cour d'appel peut également administrer, d'office ou sur requête, les preuves complémentaires nécessaires au traitement du recours (art. 389 al. 3 CPP). Par ordonnance du 21 avril 2021, la direction de la procédure a rejeté la réquisition de preuve de l’appelant tendant à la mise en œuvre d’une expertise afin de déterminer si une quelconque opération consistant à communiquer (« distribution »), par quelque procédé que cela soit, la vidéo litigieuse, a été faite, le 22 mai 2019, depuis son compte Instagram. En séance de ce jour, le prévenu n’a pas réitéré sa réquisition de preuve. Il n'y a donc pas matière à aller au-delà de son audition.</w:t>
      </w:r>
    </w:p>
    <w:p>
      <w:r>
        <w:rPr>
          <w:b/>
        </w:rPr>
        <w:t>E. 2.1</w:t>
      </w:r>
    </w:p>
    <w:p>
      <w:r>
        <w:t>A.________ ne conteste pas avoir visionné la vidéo incriminée via son compte Instagram, sur son téléphone portable. Il ne conteste pas non plus avoir fait une opération, depuis son compte Instagram, de telle sorte que la vidéo litigieuse s’est ainsi retrouvée dans sa photothèque, ce qui correspond à l’enregistrement. Il fait en revanche grief à l’autorité de première instance d’avoir procédé à une constatation erronée des faits pertinents et d’avoir méconnu le principe juridique in dubio pro reo en retenant qu’il a transmis la vidéo litigieuse à un tiers. Il soutient qu’il n’a jamais fait la moindre opération, depuis son compte Instagram, pour envoyer, distribuer, ou adresser le fichier contenant la vidéo litigieuse à toute autre personne.</w:t>
      </w:r>
    </w:p>
    <w:p>
      <w:r>
        <w:t>Tribunal cantonal TC Page 4 de 9</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w:t>
      </w:r>
    </w:p>
    <w:p>
      <w:r>
        <w:rPr>
          <w:b/>
        </w:rPr>
        <w:t>E. 2.3</w:t>
      </w:r>
    </w:p>
    <w:p>
      <w:r>
        <w:t>En l’espèce, il n’est plus contesté que le ficher litigieux a été visionné par le prévenu via son compte Instagram et qu’il a été enregistré par le prévenu dans la photothèque de son téléphone portable. S’agissant du transfert de la vidéo incriminée, le rapport du National Center of Missing and Exploited Children mentionne expressément comme type d’incident : « possession, manufacture and distribution » (DO 2'011), ce qui signifie que le fichier a été transféré. Or, il ressort également de ce rapport que le ficher a été « uploaded», le 22 mai 2019, à 21 :09, dans le système Instagram (DO 2'011). Il est précisé que la question de savoir si ce fichier a été rendu public ou non n’est pas connue. De plus, aucune mention ne permet de savoir à qui il aurait éventuellement été transféré. Ainsi, dans la mesure où le prévenu conteste fermement avoir transmis cette vidéo, vu les informations précitées contenues dans la dénonciation d’Instagram, et en l’absence d’autres éléments à charge, on ne peut exclure que la vidéo ait été « uploadée » automatiquement dans le système d’Instagram lorsque le prévenu l’a enregistrée dans sa photothèque ou son compte Instagram, sans qu’il ne l’ait véritablement transmise à une autre personne, voire ait eu l’intention de le faire. Partant, dans le doute, il convient de retenir que le prévenu a uniquement visionné et enregistré la vidéo incriminée contenant de la pornographie dure mettant en scène des actes d’ordre sexuel effectifs impliquant un enfant et un animal.</w:t>
      </w:r>
    </w:p>
    <w:p>
      <w:r>
        <w:rPr>
          <w:b/>
        </w:rPr>
        <w:t>E. 2.4</w:t>
      </w:r>
    </w:p>
    <w:p>
      <w:r>
        <w:t>S’agissant de la qualification juridique des faits, la Juge de police a exposé de manière exhaustive l’énoncé de fait légal et la jurisprudence relative à l’infraction réprimée par l’art. 197 al. 1 et 4 CP (cf. jugement attaqué, p. 5 s.). On peut dès lors y renvoyer (art. 82 al. 4 CPP). Il convient cependant d’ajouter qu’à teneur de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L’art. 197 al. 5 CP vise le même type d’objets ou de représentations que l’art. 197 al. 4 CP. En ce qui concerne le comportement typique, le législateur a voulu interdire le fait d’acquérir, d’obtenir par voie électronique ou d’une autre manière et de posséder les objets ou représentations. La consommation est punissable en tant que telle, y compris la consommation sans possession sur internet. Les actes individuels destinés à une consommation strictement personnelle, sont mis au</w:t>
      </w:r>
    </w:p>
    <w:p>
      <w:r>
        <w:t>Tribunal cantonal TC Page 5 de 9 bénéfice d’un traitement privilégié, la peine se limitant à une privation de liberté d’un an au plus ou à une peine pécuniaire, la sanction étant élevée jusqu’à un maximum de trois ans au plus si les objets ou représentations mettent en présence des mineurs effectifs (PC CP, 2ème éd. 2017, art. 197 n. 36 s.).</w:t>
      </w:r>
    </w:p>
    <w:p>
      <w:r>
        <w:rPr>
          <w:b/>
        </w:rPr>
        <w:t>E. 2.5</w:t>
      </w:r>
    </w:p>
    <w:p>
      <w:r>
        <w:t>En l’espèce, A.________ a consulté, via Instagram, une vidéo mettant en scène un enfant ayant un rapport sexuel avec un âne et a enregistré ce fichier dans la mémoire de son téléphone portable. Il ne conteste en outre pas qu’il était conscient du caractère pédopornographique du fichier. Le comportement du prévenu est donc constitutif de l’infraction prévue à l’art. 197 al. 5 CP qui réprime les consommateurs de représentations ayant comme contenu des actes d’ordre sexuel avec des animaux, des actes de violence entre adultes ou des actes d’ordre sexuel effectifs ou non effectifs avec des mineurs. Il s’agit d’un cas d’une gravité atténuée par rapport à l’art. 197 al. 4 CP, prévu pour les auteurs qui se livrent uniquement à une consommation strictement personnelle, ce qui est le cas en l’espèce du prévenu. Partant, l’appelant doit être reconnu coupable de pornographie dure (possession d’une vidéo montrant des actes d’ordre sexuel réels avec des mineurs), au sens de l’art. 197 al. 5 2ème phr. CP, tous les éléments constitutifs de l’infraction étant remplis.</w:t>
      </w:r>
    </w:p>
    <w:p>
      <w:r>
        <w:rPr>
          <w:b/>
        </w:rPr>
        <w:t>E. 3.1</w:t>
      </w:r>
    </w:p>
    <w:p>
      <w:r>
        <w:t>Dans la mesure où l’infraction à l’art. 197 al. 4 2ème ph. CP reprochée au prévenu a été requalifiée à la baisse en infraction à l’art. 197 al. 5 2ème ph. CP, la quotitié de la peine doit être refixée.</w:t>
      </w:r>
    </w:p>
    <w:p>
      <w:r>
        <w:rPr>
          <w:b/>
        </w:rPr>
        <w:t>E. 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w:t>
      </w:r>
    </w:p>
    <w:p>
      <w:r>
        <w:t>Tribunal cantonal TC Page 6 de 9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rPr>
          <w:b/>
        </w:rPr>
        <w:t>E. 3.3</w:t>
      </w:r>
    </w:p>
    <w:p>
      <w:r>
        <w:t>A.________ a été reconnu coupable de pornographie dure (possession d’une vidéo montrant des actes d’ordre sexuel réels avec des mineurs) au sens de l’art. 197 al. 5 2ème phr. CP. Cette infraction est passible d’une peine privative de liberté de trois ans ou plus ou d’une peine pécuniaire. Concernant le type de peine et sa quotité, en application de l’interdiction de la reformatio in pejus, l’appelant est passible d’une peine pécuniaire de 30 jours-amende au plus. En l’espèce, compte tenu de la culpabilité légère du prévenu qui n’a visionné et enregistré qu’un seul fichier, des antécédents chargés du prévenu qui compte, bien qu’ils ne soient pas en lien générique avec l’infraction qui lui est reprochée ce jour, 8 inscriptions au casier judiciaire, la Cour considère qu’une peine pécuniaire de 10 jours-amende est adéquate pour sanctionner son comportement. Le montant du jour-amende a été arrêté, en première instance, sur la base de la situation financière du prévenu (cf. jugement attaqué, p. 9) à CHF 70.-. Il n’a pas été contesté en appel de sorte qu’il doit être confirmé.</w:t>
      </w:r>
    </w:p>
    <w:p>
      <w:r>
        <w:rPr>
          <w:b/>
        </w:rPr>
        <w:t>E. 4.1</w:t>
      </w:r>
    </w:p>
    <w:p>
      <w:r>
        <w:t>L’appelant conteste l’absence d’octroi du sursis à l’exécution de sa peine. Il allègue qu’une peine ferme ne se justifie pas compte tenu des circonstances et à défaut de lien générique avec les précédentes infractions au demeurant déjà anciennes.</w:t>
      </w:r>
    </w:p>
    <w:p>
      <w:r>
        <w:rPr>
          <w:b/>
        </w:rPr>
        <w:t>E. 4.2</w:t>
      </w:r>
    </w:p>
    <w:p>
      <w:r>
        <w:t>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w:t>
      </w:r>
    </w:p>
    <w:p>
      <w:r>
        <w:rPr>
          <w:b/>
        </w:rPr>
        <w:t>E. 4.3</w:t>
      </w:r>
    </w:p>
    <w:p>
      <w:r>
        <w:t>En l’espèce, force est d’admettre que seul un pronostic défavorable peut être posé sur le comportement futur de l’appelant. Si certes, l’appelant n’a pas d’antécédent en matière</w:t>
      </w:r>
    </w:p>
    <w:p>
      <w:r>
        <w:t>Tribunal cantonal TC Page 7 de 9 d’infractions sexuelles, son casier judiciaire fait état de 8 condamnations entre 2012 et 2019, pour des infractions à la loi sur la circulation routière, à la loi sur les étrangers, à la loi sur l’AVS et pour détournement de valeurs patrimoniales mises sous main de justice. Malgré des condamnations antérieures à des peines privatives de liberté et des peines pécuniaires fermes, l’appelant a toutefois à nouveau commis une infraction. Seule l'exécution de sa peine sera de nature à lui faire prendre conscience de ses actes et de permettre ainsi d'éviter toute nouvelle récidive. Partant, un sursis ne peut être accordé au prévenu et la peine prononcée sera ferme.</w:t>
      </w:r>
    </w:p>
    <w:p>
      <w:r>
        <w:rPr>
          <w:b/>
        </w:rPr>
        <w:t>E. 5</w:t>
      </w:r>
    </w:p>
    <w:p>
      <w:r>
        <w:t>En application de l’art. 66a al. 2 CP, il est renoncé à prononcer l’expulsion judiciaire du territoire suisse de A.________.</w:t>
      </w:r>
    </w:p>
    <w:p>
      <w:r>
        <w:rPr>
          <w:b/>
        </w:rPr>
        <w:t>E. 5.1</w:t>
      </w:r>
    </w:p>
    <w:p>
      <w:r>
        <w:t>En l’espèce, l’appel du prévenu est partiellement admis. Les faits reprochés au prévenu ont été requalifiés à la baisse et sa peine a été adaptée en ce sens. Ces modifications ne justifient toutefois pas une mise à la charge partielle de l’Etat des frais de procédure de première instance, l’appelant ayant été condamné. En l’absence d’acquittement, il n’y a pas lieu de revoir la répartition des frais de première instance. S’agissant des frais de la procédure d’appel, celui-ci étant partiellement admis, il se justifie de mettre 1/4 des frais de la procédure d’appel à la charge de l’appelant. Ils sont fixés à CHF 2’200.- conformément aux art. 424 CPP, 124 LJ, 33 à 35 et 43 RJ (émolument: CHF 2'000.-; débours: CHF 200.-).</w:t>
      </w:r>
    </w:p>
    <w:p>
      <w:r>
        <w:rPr>
          <w:b/>
        </w:rPr>
        <w:t>E. 5.2</w:t>
      </w:r>
    </w:p>
    <w:p>
      <w:r>
        <w:t>En vertu de l’art. 436 al. 2 CPP, le prévenu qui a obtenu partiellement gain de cause a droit à une juste indemnité pour ses dépens.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vu que les frais ont été laissés à sa charge. En l’espèce, sur la base de la liste de frais qu’il a produite ce jour, laquelle fait état d’opérations justifiées, la Cour retient que Me Nicolas Charrière a consacré utilement 9 heures à la défense de son mandant pour la procédure d'appel. Les honoraires sont donc arrêtés à CHF 2'250.- (CHF 250.-/h), auxquels s'ajoutent les débours par CHF 112.50 (5%) et la TVA par CHF 184.20 (7.7%), ce qui porte le total à un montant de CHF 2'576.70. S’y ajoute un montant de CHF 79.95 pour des débours externes. Afin de tenir compte de la répartition des frais de justice telle que fixée</w:t>
      </w:r>
    </w:p>
    <w:p>
      <w:r>
        <w:t>Tribunal cantonal TC Page 8 de 9 plus haut (cf. supra consid. 5.1.), l'indemnité pour la seconde instance sera arrêtée à concurrence de 3/4 de ce montant, soit CHF 1'932.50, TVA incluse, plus CHF 60.-.</w:t>
      </w:r>
    </w:p>
    <w:p>
      <w:r>
        <w:rPr>
          <w:b/>
        </w:rPr>
        <w:t>E. 5.3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la peine pécuniaire, les frais de justice d’appel et les frais judiciaires de première instance seront compensés avec l'indemnité accordée à l'appelant pour la seconde instance. la Cour arrête : I. L’appel est partiellement admis. Partant, le jugement de la Juge de police de l’arrondissement de la Gruyère du 21 janvier 2021 est réformé et prend la teneur suivante : 1. A.________ est reconnu coupable de pornographie (possession d’une vidéo montrant des actes d’ordre sexuel effectifs entre un mineur et un animal). 2. En application des art. 34, 47 et 197 al. 5 2ème phr. CP, A.________ est condamné à une peine pécuniaire de 10 jours-amende, sans sursis. Le montant du jour-amende est fixé à CHF 70.-. 3. Le sursis assortissant la peine prononcée le 30 août 2013 par le Ministère public du canton de Fribourg n’est pas révoqué. 4. En application de l’art. 67 al. 4bis CP, il est renoncé à prononcer une interdiction de l’exercice d’une activité professionnelle ou d’une activité non professionnelle organisée impliquant des contacts réguliers avec des mineurs.</w:t>
      </w:r>
    </w:p>
    <w:p>
      <w:r>
        <w:rPr>
          <w:b/>
        </w:rPr>
        <w:t>E. 6</w:t>
      </w:r>
    </w:p>
    <w:p>
      <w:r>
        <w:t>En application des art. 421 et 426 CPP, les frais de procédure sont mis à la charge de A.________. Ils sont fixés à CHF 250.- pour l'émolument de justice, auxquels s’ajoutent l’émolument du Ministère public par CHF 310.-, et à CHF 75.- pour les débours, soit CHF 635.- au total.</w:t>
      </w:r>
    </w:p>
    <w:p>
      <w:r>
        <w:rPr>
          <w:b/>
        </w:rPr>
        <w:t>E. 7</w:t>
      </w:r>
    </w:p>
    <w:p>
      <w:r>
        <w:t>(supprimé).</w:t>
      </w:r>
    </w:p>
    <w:p>
      <w:r>
        <w:t>Tribunal cantonal TC Page 9 de 9 II. Les frais de procédure d’appel dus à l’Etat sont fixés à CHF 2’200.- (émolument: CHF 2'000.- et débours: CHF 200.-). En application de l’art. 428 al. 1 CPP, ils sont mis à la charge de A.________ à raison de 1/4, soit CHF 550.- le solde étant laissé à la charge de l’Etat. III. Une indemnité réduite au sens de l'art. 436 al. 2 CPP est accordée à A.________ à charge de l'Etat. Elle est fixée à CHF 1'932.50, TVA incluse, plus CHF 60.-. En application de l’art. 442 al. 4 CPP, celle-ci est compensée avec la peine pécuniaire, les frais de la procédure d’appel et les frais de la procédure de première instance.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mai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