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137 vom 28. September 2021</w:t>
      </w:r>
    </w:p>
    <w:p>
      <w:r>
        <w:t>FR Kantonsgericht, 2021-09-28, FR</w:t>
      </w:r>
    </w:p>
    <w:p>
      <w:r>
        <w:rPr>
          <w:b/>
        </w:rPr>
        <w:t xml:space="preserve">Quelle: </w:t>
      </w:r>
      <w:r>
        <w:t>https://mcp.opencaselaw.ch/entscheid/fr_gerichte_501_2021_137</w:t>
      </w:r>
    </w:p>
    <w:p>
      <w:r>
        <w:t>FR: FR_GERICHTE 501 2021 137 du 28 septembre 2021</w:t>
      </w:r>
    </w:p>
    <w:p>
      <w:r>
        <w:t>IT: FR_GERICHTE 501 2021 137 del 28 settembre 2021</w:t>
      </w:r>
    </w:p>
    <w:p>
      <w:pPr>
        <w:pStyle w:val="Heading2"/>
      </w:pPr>
      <w:r>
        <w:t>Regeste</w:t>
      </w:r>
    </w:p>
    <w:p>
      <w:r>
        <w:t>Arrêt de la Cour d'appel pénal du Tribunal cantonal | Revision (Art. 410 à 415 StPO)</w:t>
      </w:r>
    </w:p>
    <w:p>
      <w:pPr>
        <w:pStyle w:val="Heading2"/>
      </w:pPr>
      <w:r>
        <w:t>Erwägungen</w:t>
      </w:r>
    </w:p>
    <w:p>
      <w:r>
        <w:rPr>
          <w:b/>
        </w:rPr>
        <w:t>E. 1.1</w:t>
      </w:r>
    </w:p>
    <w:p>
      <w:r>
        <w:t>En application de l'art. 21 al. 1 let. b CPP en relation avec l'art. 85 al. 2 de la loi sur la justice du 31 mai 2010 (LJ; RSF 130.1),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(art. 411 al. 2 CPP) – sous réserve de l'abus de droit.</w:t>
      </w:r>
    </w:p>
    <w:p>
      <w:r>
        <w:rPr>
          <w:b/>
        </w:rPr>
        <w:t>E. 1.2</w:t>
      </w:r>
    </w:p>
    <w:p>
      <w:r>
        <w:t>Aux termes de l'art. 410 al. 1 CPP, toute partie lésée par un jugement entré en force peut demander la révision. Le demandeur, en tant qu'il est directement atteint par l'ordonnance litigieuse le condamnant, est légitimé à introduire une demande de révision.</w:t>
      </w:r>
    </w:p>
    <w:p>
      <w:r>
        <w:rPr>
          <w:b/>
        </w:rPr>
        <w:t>E. 1.3</w:t>
      </w:r>
    </w:p>
    <w:p>
      <w:r>
        <w:t>Une ordonnance pénale entrée en force peut faire l'objet d'une révision (art. 410 al. 1 CPP). Une ordonnance pénale entre en force notamment lorsque le délai d'opposition de 10 jours, qui court dès la notification, s'écoule sans qu'il en soit fait usage (art. 437 al. 1 let. a et 354 CPP), ce qui est le cas en l'espèce, A.________ ne faisant pas valoir avoir formé en temps utile opposition à ladite ordonnance.</w:t>
      </w:r>
    </w:p>
    <w:p>
      <w:r>
        <w:rPr>
          <w:b/>
        </w:rPr>
        <w:t>E. 1.4</w:t>
      </w:r>
    </w:p>
    <w:p>
      <w:r>
        <w:t>La Cour d'appel pénal examine préalablement la demande de révision en procédure écrite (art. 412 al. 1 CPP).</w:t>
      </w:r>
    </w:p>
    <w:p>
      <w:r>
        <w:t>Tribunal cantonal TC Page 3 de 5</w:t>
      </w:r>
    </w:p>
    <w:p>
      <w:r>
        <w:rPr>
          <w:b/>
        </w:rPr>
        <w:t>E. 2.1</w:t>
      </w:r>
    </w:p>
    <w:p>
      <w:r>
        <w:t>Les motifs de révision sont énumérés exhaustivement à l'art. 410 CPP. La révision peut notamment être demandée s'il existe des faits ou des moyens de preuves qui étaient inconnus de l'autorité inférieure et qui sont de nature à motiver l'acquittement ou la condamnation sensiblement moins sévère du condamné. Les faits ou moyens de preuves invoqués doivent ainsi être nouveaux et sérieux. Ils sont inconnus lorsque le juge n'en a pas eu connaissance au moment où il s'est prononcé, c'est-à-dire lorsqu'il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w:t>
      </w:r>
    </w:p>
    <w:p>
      <w:r>
        <w:rPr>
          <w:b/>
        </w:rPr>
        <w:t>E. 2.2</w:t>
      </w:r>
    </w:p>
    <w:p>
      <w:r>
        <w:t>Conformément à l'art. 411 al. 1 CPP, la demande de révision doit contenir des conclusions, une motivation indiquant les causes de révision et tous les faits et moyens de preuves sur lesquels elle se fonde (BSK StPO-HEER, 2e éd. 2014,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w:t>
      </w:r>
    </w:p>
    <w:p>
      <w:r>
        <w:rPr>
          <w:b/>
        </w:rPr>
        <w:t>E. 2.3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TF 6B_947/2017 du 14 février 2018 consid. 1.3 et 6B_866/2014 du 26 février 2015 consid. 1.2).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preuves importants que le condamné ne connaissait pas au moment du prononcé de l'ordonnance ou dont il ne pouvait pas se prévaloir ou</w:t>
      </w:r>
    </w:p>
    <w:p>
      <w:r>
        <w:t>Tribunal cantonal TC Page 4 de 5 n'avait pas de raisons de se prévaloir à cette époque (cf. ATF 130 IV 72 consid. 2.3; arrêt TF 6B_96/2016 du 19 janvier 2017 consid. 1.3).</w:t>
      </w:r>
    </w:p>
    <w:p>
      <w:r>
        <w:rPr>
          <w:b/>
        </w:rPr>
        <w:t>E. 2.4</w:t>
      </w:r>
    </w:p>
    <w:p>
      <w:r>
        <w:t>En l'espèce, le demandeur a pris acte de sa condamnation et en a accepté le principe. Il n'a pas formé opposition à l'ordonnance qui lui a été notifiée et a d'ailleurs écrit au Ministère public, à la fin juin 2021, avoir "pris la décision de payer l'amende par l'exécution de la peine sous forme de travail général". A l'appui de sa révision, il présente comme fait nouveau le fait que suite à une erreur administrative de la préfecture de B.________, son permis de conduire était bien valide lors du contrôle du 9 avril 2021 à l'origine de sa condamnation. Certes, la copie du permis de conduire jointe à son courrier fait état d'un permis pour la catégorie B depuis le 20 juin 2019, mais la date de délivrance du permis nouvellement produit est celle du 23 juin 2021. Outre le fait que ce document n'atteste pas de la validité du permis au moment de l'infraction commise, le demandeur n'expose pas pour quelle raison il n'a pas fait valoir un tel moyen de preuve au cours de la procédure ordinaire d'opposition et on ne perçoit aucun motif à son abstention. La révision n'est pas prévue pour permettre à un justiciable de revenir selon son bon vouloir sur son choix passé de ne pas former opposition à une ordonnance pénale. Il incombait à A.________ de contester à l'époque sa condamnation, au besoin en requérant aussitôt de la préfecture concernée la délivrance d'un document attestant d'un permis de conduire valable au moment des faits reprochés. En l'absence de fait nouveau, la demande apparaît clairement comme un moyen de contourner la voie de droit ordinaire. Même en tenant compte du fait que le demandeur n'est pas assisté d'un représentant professionnel, la demande de révision ne satisfait au demeurant manifestement pas aux exigences de motivation en ce domaine. Il n'y a ainsi pas lieu d'entrer en matière (art. 412 al. 1 CPP).</w:t>
      </w:r>
    </w:p>
    <w:p>
      <w:r>
        <w:rPr>
          <w:b/>
        </w:rPr>
        <w:t>E. 3</w:t>
      </w:r>
    </w:p>
    <w:p>
      <w:r>
        <w:t>Vu l'issue de la cause, les frais judiciaires, arrêtés à CHF 150.- (émolument: CHF 100.-; débours: CHF 50.-), sont mis à la charge du demandeur, qui succombe (art. 428 al. 1 CPP). Il n'y a pas matière à indemnité. (dispositif en page suivante)</w:t>
      </w:r>
    </w:p>
    <w:p>
      <w:r>
        <w:t>Tribunal cantonal TC Page 5 de 5 la Cour arrête : I. Il n'est pas entré en matière sur la demande de révision du 13 juillet 2021. II. Les frais de procédure, par CHF 150.- (émolument: CHF 100.-; débours: CHF 50.-), sont mis à la charge de A.________. Aucune indemnité de partie n'est allouée.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septembre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