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79 vom 15. Dezember 2020</w:t>
      </w:r>
    </w:p>
    <w:p>
      <w:r>
        <w:t>FR Kantonsgericht, 2020-12-15, DE</w:t>
      </w:r>
    </w:p>
    <w:p>
      <w:r>
        <w:rPr>
          <w:b/>
        </w:rPr>
        <w:t xml:space="preserve">Quelle: </w:t>
      </w:r>
      <w:r>
        <w:t>https://mcp.opencaselaw.ch/entscheid/fr_gerichte_501_2020_79</w:t>
      </w:r>
    </w:p>
    <w:p>
      <w:r>
        <w:t>FR: FR_GERICHTE 501 2020 79 du 15 décembre 2020</w:t>
      </w:r>
    </w:p>
    <w:p>
      <w:r>
        <w:t>IT: FR_GERICHTE 501 2020 79 del 15 dicembre 2020</w:t>
      </w:r>
    </w:p>
    <w:p>
      <w:pPr>
        <w:pStyle w:val="Heading2"/>
      </w:pPr>
      <w:r>
        <w:t>Regeste</w:t>
      </w:r>
    </w:p>
    <w:p>
      <w:r>
        <w:t>Arrêt de la Cour d'appel pénal du Tribunal cantonal | Strafrecht</w:t>
      </w:r>
    </w:p>
    <w:p>
      <w:pPr>
        <w:pStyle w:val="Heading2"/>
      </w:pPr>
      <w:r>
        <w:t>Erwägungen</w:t>
      </w:r>
    </w:p>
    <w:p>
      <w:r>
        <w:rPr>
          <w:b/>
        </w:rPr>
        <w:t>E. 10</w:t>
      </w:r>
    </w:p>
    <w:p>
      <w:r>
        <w:t>janvier 2017. Ce crédit n’a pas été accordé non plus. Le 13 février 2019 vers 10.50 heures, A.________ a été interceptée au volant d’un véhicule qui circulait sur l’autoroute A12 en direction de Fribourg, alors qu’elle était sous le coup d’un retrait du permis de conduire. B. Le dispositif a été communiqué à A.________ le 16 octobre 2019 et, le lundi 28 octobre 2019, elle a déposé une annonce d’appel. Le jugement motivé a été notifié à la prévenue en date du 7 mai 2020 et, le 26 mai 2020, elle a déposé une déclaration d’appel. A titre principal, l’appelante conclut à son acquittement des chefs de prévention d’escroquerie, tentative d’escroquerie et faux dans les titres et à sa condamnation pour conduite d’un véhicule automobile malgré le refus, le retrait ou l’interdiction de l’usage du permis à une peine pécuniaire de 15 jours-amende avec sursis pendant trois ans, les frais de la procédure 50 2019 16 &amp; 17 étant laissés à la charge de l’Etat et ceux de la procédure 50 2019 39 mis à la charge de A.________ à raison des trois quarts. A titre subsidiaire, elle conclut à son acquittement des chefs de prévention d’escroquerie, tentative d’escroquerie et faux dans les titres (fabrication) et à sa condamnation pour faux dans les titres (usage) et conduite d’un véhicule automobile malgré le refus, le retrait ou l’interdiction de l’usage du permis à une peine pécuniaire de 120 jours-amende avec sursis pendant trois ans, les frais de la procédure 50 2019 16 &amp; 17 étant mis à la charge de A.________ à raison d’un quart et ceux de la procédure 50 2019 39 mis à sa charge à raison des trois quarts. Tribunal cantonal TC Page 3 de 18 Par courrier du 10 juin 2020, le Ministère public a indiqué ne pas présenter de demande de non- entrée en matière sur l’appel de la prévenue, ni ne déclarer appel joint. C. Aucune des parties ne s’y étant opposée, la direction de la procédure a décidé de mettre en œuvre une procédure écrite. La prévenue a alors déposé ses conclusions motivées le 31 août 2020. Le 2 septembre 2020, le Ministère public a conclu au rejet de l’appel. Quant à la Juge de police, par courrier du 15 septembre 2020, elle a renoncé à déposer une détermination. en droit 1. 1.1. L’appel, déposé en temps utile contre un jugement final rendu par un tribunal de première instance (art. 398 al. 1, 399 al. 1 et 3 CPP), est recevable. A.________, prévenue condamnée,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ni la prévenue, ni le Ministère public ne s’y sont opposés. Le mémoire d'appel doit alors être motivé et déposé dans le délai judiciaire fixé par la direction de la procédure (art. 406 al. 3 CPP). En l'espèce, l’appelante a déposé un mémoire d’appel motivé le 31 août 2020.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Tribunal cantonal TC Page 4 de 18 En l'espèce, il n'y a pas matière à aller au-delà de l'administration des preuves faite pendant la procédure préliminaire et la procédure de première instance. Au demeurant, l'administration de nouvelles preuves n'est pas requise. 1.5. La prévenue conteste en appel sa condamnation pour escroquerie, tentative d’escroquerie et faux dans les titres (ch. 2.1), la nature et la quotité de la peine prononcée à cet égard (ch. 2.2), le refus du sursis s’agissant de la peine pécuniaire sanctionnant la condamnation pour conduite d’un véhicule automobile malgré le refus, le retrait ou l’interdiction de l’usage du permis (ch. 2.2), et le règlement des frais de procédure (ch. 3.1 et 3.2). Dans la mesure où la condamnation de B.________ (ch. 1) et les indemnités accordés aux défenseurs d’office (ch. 4) ne sont pas contestés, le jugement du 8 octobre 2019 est entré en force sur ces points (art. 399 al. 4 et 402 a contrario CPP). 1.6. De nouvelles dispositions du Code pénal relatives aux peines et aux mesures sont entrées en vigueur le 1er janvier 2018 (RO 2016 1249) et le 1er juillet 2019 (RO 2019 1809).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droit entré en vigueur le 1er janvier 2018 a durci le régime des sanctions, supprimant le travail d'intérêt général (art. 37 CP) et réduisant la possibilité de prononcer une peine pécuniaire (art. 34 CP). Dans ces conditions, les dispositions légales en vigueur jusqu'au 31 décembre 2017 sont plus favorables à la prévenue, de sorte qu'il convient de les appliquer aux faits antérieurs à cette date. 1.7. Dans la mesure où l’appelante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Tribunal cantonal TC Page 5 de 18 l'arbitraire (cf. arrêt TF 6B_988/2018 du 2 novembre 2018 consid. 1.1.1; ATF 143 IV 500 consid. 1.1). 2. L’appelante conteste sa condamnation pour escroquerie en argumentant que les conditions légales de l’infraction ne sont pas données puisque l’astuce fait défaut, les tentatives d’escroquerie étant au surplus le fait du seul B.________. 2.1.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(cf. PC CP, 2e éd. 2017, art. 146 n. 1 et 2).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Selon la jurisprudence du Tribunal fédéral, l'utilisation d'un titre falsifié doit en principe conduire à admettre l'existence d'une tromperie astucieuse (cf. arrêt TF 6B_613/2020 du 17 septembre 2020 consid. 1.2.2).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mentale, l’inexpérience ou le fait que la victime soit affectée par l’âge ou la maladie ou que celle-ci soit dans un rapport de dépendance ou de subordination ou dans une situation de nécessité et, pour cette raison, ne soit guère capable de faire preuve de méfiance à l’égard de l’auteur. D’autre part, les connaissances spécialisées et l’expérience des affaires de la victime doivent être prises en compte, de la même manière qu’ils sont par exemple évalués dans le cadre des octrois de crédits par les banques (cf. ATF 142 IV 153 consid. 2.2.2). Sous l’angle de la coresponsabilité de la victime, la réalisation des éléments constitutifs n’exige pas que la dupe fasse preuve de la plus grande attention possible et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(cf. ATF 135 IV 76 consid. 5.2). Il n’est donc pas nécessaire que la dupe soit exempte de la moindre faute (cf. arrêt TF 6B_135/2019 du 4 avril 2019 consid. 3.1.4). Selon la jurisprudence, plus la tromperie est importante, plus la responsabilité de la victime passe au second plan. La punissabilité est en effet fondée sur le comportement de l'escroc et non sur celui de la dupe, qui ne saurait traiter tous ses partenaires contractuels quotidiens comme des escrocs présumés (cf. arrêt TF 6B_383/2013 du 9 septembre 2013 consid. 2.2). Tribunal cantonal TC Page 6 de 18 Le dommage est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Ainsi, dans une opération de crédit, le dommage peut résulter d'un accroissement du risque de non-recouvrement de la créance, lorsque ce risque est plus élevé que celui qu'avait admis l'institution de prêt sur la base des informations qui lui avaient été fournies (cf. arrêt TF 6B_173/2014 du 2 juillet 2014 consid. 4.3.1). Un préjudice temporaire ou provisoire suffit; une mise en danger constitue déjà un dommage si elle entraîne une diminution de valeur du point de vue économique (cf. arrêt TF 6B_412/2016 du 10 février 2017 consid. 2.4). 2.2. En ce qui concerne les épisodes du 11 mars 2016, du 22 mars 2016 et du 10 janvier 2017, l’appelante conteste son implication et fait valoir que ces trois demandes de crédit ont été effectuées au nom de B.________ et qu’elle n’en avait pas connaissance. La Juge de police a analysé le dossier afin d’établir le rôle de chacun des prévenus dans ces affaires pour en conclure que la prévenue et son mari étaient fusionnels et vivaient quasiment en vase clos. Que B.________ ait pris l’initiative de falsifier des documents et de faire les demandes de crédit ou ait simplement accepté de le faire à la demande de son épouse, importe peu. Par ailleurs, les premiers documents ayant été falsifiés par B.________ ou à tout le moins avec son aide, la prévenue pouvait les réutiliser pour faire de nouvelles demandes. La prévenue et son mari ont rejeté la faute sur l’autre, mais il résulte du dossier qu’ils ont chacun fait une part du travail tout en voulant atteindre le même but, à savoir obtenir les crédits. Ils ont dès lors agi en qualité de coauteurs pour l’ensemble des demandes de crédit en cause. 2.2.1.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(cf. ATF 135 IV 152 consid. 2.3.1; arrêt TF 6B_755/2019 du 28 août 2019 consid. 1.3.3). 2.2.2. La demande de crédit du 11 mars 2016 auprès de D.________ SA par l’intermédiaire de la société F.________ SA a été faite au nom de B.________ (cf. DO 2836 ss ; 2855). En outre, le 22 mars 2016, une demande de crédit a été faite auprès de D.________ SA par l’intermédiaire de la société G.________ SA, à nouveau au nom de B.________ (cf. DO 2846 ss ; 2856). Selon ce dernier, ces demandes ont été établies par la prévenue car lui-même savait qu’en faisant des demandes de crédit répétitives, elles seraient refusées (cf. DO 500046 verso). La prévenue de son côté, qui n’a pas été entendue au sujet de ces deux demandes de crédit par la police (cf. DO 2668 ss ; 2671 ss), a exposé devant le Procureur et devant la Juge de police qu’elle n’avait pas connaissance de ces deux demandes de crédit avant d’en être informée durant la présente procédure (cf. DO 3005 ; 500049 verso). Tribunal cantonal TC Page 7 de 18 La définition du coauteur implique que la personne mise en cause collabore de manière déterminante soit à la décision de commettre une infraction, soit à son organisation, soit encore à son exécution, conditions dont la réalisation suscite un doute important en l’espèce. En effet, les deux demandes de crédit ont été effectuées sur la base des fiches de salaire de B.________ pour les mois de décembre 2015 (cf. DO 2839, 2848), janvier 2016 (cf. DO 2838, 2847) et février 2016 (cf. DO 2837, 2846), ainsi que des relevés de deux comptes bancaires de celui-ci (cf. DO 2840- 2842, 2849-2851). De plus, on ne saurait déduire de l’argument de B.________ selon lequel il savait qu’établir des demandes de crédit à répétition était inutile, qu’il ne l’a pas fait. En effet, celui- ci a déposé, avant les deux demandes de mars 2016, dix demandes de crédit depuis juillet 2010 rien qu’auprès de D.________ SA (cf. DO 2769). Et s’il est permis de retenir que la prévenue et son mari sont intervenus tous deux et se sont partagés la maîtrise du comportement délictueux en lien avec les différentes demandes de crédit, force est de relever également que cela ne signifie pas encore qu’ils ont pris, pour chaque demande de crédit, une décision commune ou associé leurs efforts. Il est en effet tout aussi possible qu’ils ont alternativement et successivement déposé des demandes de crédit, sans forcément avertir l’autre. Le simple fait qu’ils ont parfois collaboré pour déposer une demande de crédit grâce à des documents falsifiés ne signifie ainsi pas encore que, pour chaque demande individuelle, la prévenue a participé à sa mise en place. S’agissant plus particulièrement des deux demandes de crédit du 11 mars 2016 et du 22 mars 2016, aucun élément du dossier ne semble démontrer une implication de la prévenue, sous quelque forme que ce soit. Dans ces conditions, in dubio pro reo, la Cour de céans acquittera A.________ de l’infraction d’escroquerie pour les faits du 11 mars 2016 et du 22 mars 2016. L’appel est admis sur ce point. 2.2.3. En ce qui concerne la demande de crédit du 10 janvier 2017 auprès de I.________ SA, elle a été établie au nom de H.________ (cf. DO 2154 ss), compagnon de la mère de la prévenue (cf. DO 2619 et 2674), dont le numéro de compte bancaire figurait sur les fiches de salaire falsifiées (cf. DO 2005). Selon B.________, cette demande de crédit a été effectuée par la prévenue, bien que ce soit lui qui ait modifié la date de naissance sur la photocopie du permis de conduire et les fiches de salaire (cf. DO 2619). Interpellé sur le fait que c’est le numéro de compte de la mère de la prévenue qui figurait au bas des fiches de salaire, il a expliqué : « Je ne sais plus pourquoi nous avons mis l’IBAN de J.________. Tout ce que je sais, c’est que c’est A.________ qui me l’avait demandé et que si la demande aboutissait, elle regarderait avec sa maman pour s’arranger avec l’argent » (cf. DO 2620). Quant à la prévenue, elle a affirmé d’abord ne pas avoir connaissance de cette demande de crédit (cf. DO 2674), avant de reconnaître que son mari et elle-même étaient impliqués au même titre, et qu’elle avait bien accepté la proposition de B.________ relative à cette demande (cf. DO 3006), avant de nier à nouveau toute implication dans cette demande de crédit (cf. DO 500049). Force est de constater qu’en l’espèce, plusieurs éléments conduisent à retenir que la prévenu a effectivement participé à la demande de crédit du 10 janvier 2017. Les indications figurant sur la demande de crédit ont en effet des liens étroits avec la prévenue puisque la demande a été faite au nom du compagnon de sa mère et que le compte bancaire de celle-ci figurait sur les fiches de salaire falsifiées. L’explication donnée par B.________ relative au fait que son épouse s’arrangerait avec sa mère pour l’argent si la demande aboutissait a en outre l’accent de la sincérité. La prévenue de son côté, n’a pas été constante dans ses déclarations, de sorte qu’aucune crédibilité ne peut être accordée à ses dénégations. La Cour n’a par conséquent aucun doute quant à l’implication de la prévenue dans cette affaire-ci. L’appel sera par conséquent rejeté sur ce point. Tribunal cantonal TC Page 8 de 18 2.3. Pour les cinq épisodes examinés par la Juge de police, l’appelante conteste la réalisation de la condition de la tromperie astucieuse. Dans la mesure où il a été retenu (cf. consid. 2.2.2 ci- avant) que la prévenue n’était pas impliquée et devait être acquittée pour les faits du 11 mars 2016 et du 22 mars 2016, point n’est besoin d’examiner s’il y a eu tromperie astucieuse dans ces cas-là. 2.3.1. En ce qui concerne les faits du 30 juin 2015 au préjudice de C.________ SA, l’appelante estime que les documents qui ont été soumis à cet établissement de crédit contenaient des erreurs aisément décelables et que, sur la base des éléments dont elle disposait, la banque devait refuser le crédit ou, à tout le moins, constater qu’une vérification plus détaillée s’imposait. La prévenue ne saurait être suivie dans cette argumentation. Elle a certes indiqué, sur la demande de crédit, qu’elle habitait à K.________ depuis le 1er mai 2015 (cf. DO 2086), alors que les certificats de salaire produits indiquaient une adresse à L.________ pour les mois de mai et de juin 2015 (cf. DO 2099-2100), mais cela pouvait être dû à un simple retard de l’employeur pour actualiser l’adresse de son employée, sans que cela ne doive éveiller un soupçon auprès de C.________ SA. Les certificats de salaire étant au surplus confirmés par les extraits de compte bancaire (cf. DO 2104, 2102 et 2106), et leur typographie irrégulière pouvant être due au procédé de scan, on ne saurait reprocher à l’établissement de crédit d’avoir renoncé à demander les documents originaux (cf. DO 2112). Enfin, l’extrait du registre des poursuites (cf. DO 2097), et les renseignements sur la solvabilité de la requérante (cf. DO 2095), ne contiennent aucun élément qui aurait dû éveiller des soupçons. La Cour de céans relève par ailleurs que l’établissement de crédit a néanmoins procédé à des vérifications supplémentaires. Après un premier appel au numéro de téléphone indiqué, qui s’avère être le numéro professionnel direct de B.________ (cf. DO 2090, 2617, 2620), au cours duquel la personne qui a pris l’appel a dit à l’employée de l’établissement de crédit que la prévenue n’y travaillait pas (cf. DO 2090 ; 30 juin 2015 à 10:44), la même employée a appelé la prévenue, qui lui a précisé que son chef direct s’appelait B.________, puis rappelé au même numéro (cf. DO 2090 ; 30 juin 2015 à 11:17). Lors de cet appel, dûment averti par son épouse, B.________ a menti à l’employée de l’établissement de crédit en affirmant que la prévenue travaillait bien auprès de l’entreprise M.________. La prévenue et son mari ne se sont donc pas limités à falsifier des documents, mais ont mis au point des manœuvres frauduleuses subtiles afin de conforter l’établissement de crédit dans son erreur. On a donc bien affaire à une tromperie astucieuse au moyen de laquelle la prévenue et son mari ont empêché l’établissement bancaire de découvrir la falsification des documents et déjoué les vérifications mises en œuvre par C.________ SA. S’agissant de cette infraction, l’appelante estime par ailleurs que la condition du dommage n’est pas réalisée, le prêt ayant été remboursé grâce au prêt obtenu d’un autre établissement de crédit. Elle ne saurait être suivie sur ce point. En effet, compte tenu de la situation financière de la prévenue et de son mari, force est de constater qu’on est en présence d’une opération de crédit où le risque de non-recouvrement de la créance était plus élevé que celui qui résultait des informations – fausses – qui avaient été fournies à l’institution de prêt. La condition du dommage au sens de la jurisprudence est par conséquent remplie, à tout le moins de façon temporaire, ce qui est suffisant et conduit au rejet de ce grief. 2.3.2. S’agissant des faits du 13 août 2015 au préjudice de D.________ SA, l’appelante relève que la vérification effectuée par cet établissement de crédit était légère et que, si elle avait suivi les signaux d’avertissement qu’elle pouvait aisément constater, elle aurait évité d’accorder le crédit. Tribunal cantonal TC Page 9 de 18 A l’appui de cette demande de crédit, la prévenue et son mari ont déposé deux certificats de salaire (cf. DO 2120 et 2121) et un contrat de travail (cf. DO 2124), établis à l’origine au nom de B.________, qu’ils ont falsifié pour les mettre au nom de la prévenue. Ils ont en outre remis à l’établissement de crédit une copie de la carte d’identité de la prévenue (cf. DO 2118), authentique, et deux extraits de compte bancaire mentionnant le versement desdits salaires, étant précisé que le compte bancaire en question est un compte « ménage » au nom de la prévenue et de son mari (cf. DO 2122 et 2123), de sorte qu’il n’a pas été nécessaire de falsifier les relevés de compte. Enfin, ils ont remis un extrait du jugement de divorce de la prévenue et deux relevés de compte mentionnant le versement des contributions d’entretien qu’elle percevait de la part de son ex-mari (cf. DO 2126-2130). Là encore, aucune falsification n’a été nécessaire. Il ressort des pièces produites par D.________ SA que celle-ci a effectué des contrôles relatifs aux documents fournis par la prévenue. L’établissement de crédit a en outre sollicité un extrait du registre des poursuites (cf. DO 2132), et pris de renseignements sur la solvabilité de la requérante (cf. DO 2133). S’agissant plus particulièrement des certificats de salaire et du contrat de travail falsifiés, force est de constater que la falsification, qui ne porte que sur le nom de la prévenue et le numéro AVS, n’est pas facile à déceler. Elle l’est d’autant moins que tous les autres documents semblent confirmer leur contenu. Le fait que le contrat de travail mentionne la forme masculine de la fonction (« technicien de maintenance ») ne saurait constituer un élément devant attirer l’attention de l’établissement de crédit dans la mesure où les formes féminines de métiers principalement masculins ne sont pas toujours utilisées par les employeurs. Quant à la légère différence d’adresse entre le certificat de salaire et la prétendue ancienne adresse de la requérante figurant sur la demande de crédit (cf. DO 2119 ; route de N.________ 26 au lieu de route de N.________ 22), elle peut résulter d’une simple erreur de frappe et ne devait pas attirer particulièrement l’attention de l’établissement de crédit. Enfin, comme pour la demande de crédit du 30 juin 2015 (cf. consid. 2.3.1 ci-avant), le fait que la prévenue a indiqué, sur la demande de crédit, qu’elle habitait à K.________ depuis le 1er mai 2015 (cf. DO 2119), alors que les certificats de salaire produits indiquaient une adresse à L.________ pour les mois de juin et de juillet 2015 (cf. DO 2120-2121), ne devait pas nécessairement éveiller un soupçon puisque cela pouvait être dû à un simple retard de l’employeur pour actualiser l’adresse de son employée. Là encore, c’est donc à juste titre que la Juge de police a conclu à la présence d’une tromperie astucieuse, et les arguments soulevés par l’appelante ne conduisent pas à une autre appréciation. 2.3.3. En lien avec les faits du 10 janvier 2017 auprès de I.________ Sàrl, l’appelante n’indique pas spécifiquement pourquoi, dans ce cas, l’astuce ferait défaut. La Juge de police a relevé à ce sujet que la prévenue et son mari avaient poussé leur stratagème de falsification très loin puisqu’ils s’étaient attribué l’identité d’une tierce personne de leur entourage n’ayant jamais contracté de prêt et qu’ils avaient communiqué un numéro de compte appartenant à la mère de la prévenue. L’établissement de crédit avait certes refusé d’accorder le crédit, mais seule l’attention ou la méfiance de l’employé de I.________ Sàrl avaient conduit à l’échec de la tromperie mise en place par la prévenue et son époux. En l’espèce, l’acte délictueux est effectivement resté au stade de la tentative. On ne saurait cependant en inférer que, parce que la dupe potentielle évite en définitive d’entrer dans le jeu de l’auteur, l’on n’est pas en présence d’une tromperie astucieuse. En l’occurrence et comme pour les autres demandes de crédit, la prévenue et son mari ont falsifié des documents de manière habile. Ils ont en particulier copié et falsifié la carte d’identité de H.________ en modifiant sa date de Tribunal cantonal TC Page 10 de 18 naissance (cf. DO 2159), car la véritable date de naissance de celui-ci « était trop proche de la retraite pour obtenir un crédit », comme expliqué par B.________ (cf. DO 2619). Ils ont en outre utilisé une nouvelle fois les certificats de salaire de ce dernier en modifiant le nom et l’adresse de leur destinataire ainsi que le compte bancaire sur lequel le salaire devait être versé (cf. DO 2156- 2158). Là encore, la falsification est habile et difficile à déceler, sauf à contacter l’employeur. Et à cet égard, la prévenue et son mari ont également pris leurs précautions puisque le numéro de téléphone indiqué était le numéro direct de B.________ (cf. DO 2620), ce qui leur permettait de déjouer toute tentative d’investigation de l’établissement de crédit. Au vu des éléments qui précèdent, c’est à juste titre que la Juge de police a conclu à la présence d’une tromperie astucieuse, ce qui conduit au rejet de l’appel sur ce point également. 2.4. En conclusion, la Cour de céans retient que la prévenue s’est rendue coupable d’escroquerie pour les faits du 30 juin 2015 et du 13 août 2015, et de tentative d’escroquerie pour les faits du 10 janvier 2017. La tentative d’escroquerie ne sera en revanche pas retenue à l’encontre de la prévenue s’agissant des faits du 11 mars 2016 et du 22 mars 2016. 3. L’appelante remet en cause sa condamnation pour faux dans les titres. Elle fait valoir que les faux grossiers qui ont été utilisés ne constituent plus des titres et, subsidiairement, d’une part, qu’elle n’a pas participé à la fabrication de ces faux, et, d’autre part, que son implication dans l’usage de faux ne peut être admise que pour les faits du 30 juin 2015 et du 13 août 2015. 3.1.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(cf. arrêt TF 6B_613/2020 du 17 septembre 2020 consid. 1.1.1).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(cf. ATF 144 IV 13 consid. 2.2.2). En ce qui concerne l’infraction de faux matériel dans les titres, les exigences accrues quant à la force probante du document posées par la jurisprudence en cas de faux intellectuel n'entrent pas en considération (cf. ATF 119 IV 234 consid. 2a). Le faux matériel peut prendre la forme de la falsification. Celle-ci consiste à modifier le contenu du titre. Il découle du comportement de l’auteur de l’infraction que le contenu de la déclaration initiale de l’auteur s’en trouve transformée et que, par conséquent, le titre perd son authenticité (cf. ATF 137 IV 167 consid. 2.3.1). L'infraction de faux matériel dans les titres peut être réalisée même par une falsification maladroite, facilement reconnaissable. Le faux matériel ne peut être exclu que lorsqu'il n'existe aucun danger de confusion quant à l'identité de son auteur réel (cf. arrêt TF TF 6B_613/2020 du 17 septembre 2020 consid. 1.1.2). Tribunal cantonal TC Page 11 de 18 3.2. En l’espèce, il est reproché à la prévenue et à son mari d’avoir établi et utilisé des titres faux. Ils ont en effet modifié des documents authentiques émanant de l’employeur de B.________, en changeant le nom de l’employé figurant sur le contrat de travail (cf. DO 2124) ou les certificats de salaire (cf. DO 2098 ss, 2120 s., 2156 ss), ou le montant indiqué sur ces derniers (cf. DO 2837 ss) ou sur les relevés de compte bancaire (cf. DO 2840 ss). On est donc en présence de faux matériels, l’auteur apparent des documents, à savoir l’employeur de B.________ ou l’établissement bancaire, n’étant pas leur auteur réel, à savoir la prévenue ou son mari. Dans la mesure où l’appelante soutient que les documents, après falsification, ne revêtiraient pas la qualité de titre car il s’agirait de faux grossiers, elle perd de vue que l'infraction de faux dans les titres peut être réalisée même par une falsification maladroite, facilement reconnaissable. De plus, la falsification n’était pas assez grossière en l’espèce pour que l’auteur réel des documents soit apparent (cf. consid. 2.3.1, 2.3.2 et 2.3.3 ci-avant). Les différences d’adresses (cf. DO 2086, 2098- 2100), de mise en page (cf. DO 2098-2100), et d’intitulé (cf. DO 2101, 2104, 2102 et 2106) relevées par l’appelante ne suffisent pas pour modifier cette appréciation. 3.3. En ce qui concerne par ailleurs l’implication de la prévenue dans l’usage des faux effectués par son mari, il y a lieu de relever qu’elle doit être retenue non seulement pour les faits du 30 juin 2015 et du 13 août 2015, admis par l’appelante, mais également pour ceux du 10 janvier 2017 (cf. consid. 2.2.3 ci-avant). Dans ces conditions, la Cour de céans retiendra que la prévenue s’est rendue coupable de faux dans les titres pour les faits du 30 juin 2015, du 13 août 2015 et du 10 janvier 2017. L’infraction de faux dans les titres ne sera en revanche pas retenue à son encontre s’agissant des faits du</w:t>
      </w:r>
    </w:p>
    <w:p>
      <w:r>
        <w:rPr>
          <w:b/>
        </w:rPr>
        <w:t>E. 11</w:t>
      </w:r>
    </w:p>
    <w:p>
      <w:r>
        <w:t>mars 2016 et du 22 mars 2016 dès lors qu’il a été admis qu’elle n’avait pas été impliquée dans ces deux demandes de crédit (cf. consid. 2.2.2 ci-avant). 4. L’appelante conteste la quotité de la peine qui lui a été infligée et l’absence de sursis s’agissant de la peine pécuniaire. La Cour de céans ayant au surplus acquitté la prévenue des infractions de tentative d’escroquerie et de faux dans les titres en lien avec les faits du 11 mars 2016 et du 22 mars 2016, il lui appartient de fixer librement la peine à lui infliger.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Tribunal cantonal TC Page 12 de 18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4.1.2. A titre de sanctions, la règle dans le domaine de la petite criminalité est la peine pécuniaire (art. 34 CP), respectivement la peine pécuniaire et la peine privative de liberté dans le domaine de la criminalité moyenne.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d'éviter les courtes peines de prison qui font obstacle à la socialisation de l'auteur. Pour choisir la nature de la peine, le juge doit prendre en considération l'opportunité de la sanction déterminée, ses effets sur l'auteur et son milieu social, ainsi que son efficacité préventive (cf. ATF 134 IV 97 consid. 4). 4.1.3.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l’appelante, de sorte qu'il convient de les appliquer à la présente cause. Cependant, comme tranché à plusieurs reprises par le Tribunal fédéral, même pour les faits commis avant le 1er janvier 2018, la fixation d’une peine pécuniaire supérieure à 180 jours-amende constitue une violation manifeste du droit fédéral puisque, selon l’art. 34 al. 1 CP Tribunal cantonal TC Page 13 de 18 dans sa teneur depuis cette date, la peine pécuniaire est, sauf disposition contraire, de 180 jours- amende au plus (cf. arrêts TF 6B_86/2020 du 31 mars 2020 consid. 2 et les références citées ; 6B_619/2019 du 11 mars 2020 consid. 3.4 et les références citées).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ATF 144 IV 313 consid. 1.1.3 et 1.4). 4.2. 4.2.1.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4.2.2. L’art. 43 CP dispose que le juge peut suspendre partiellement l'exécution d’une peine pécuniaire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arrêt TF 6B_713/2007 du 4 mars 2008 consid. 2.2.1 ss). Tribunal cantonal TC Page 14 de 18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(arrêt TF 6B_1013/2014 du 15 septembre 2015 consid. 4). 4.3. En l’occurrence, la prévenue est reconnue coupable d’escroquerie (faits du 30 juin 2015 et du 13 août 2015), tentative d’escroquerie (faits du 10 janvier 2017), faux dans les titres (faits du 30 juin 2015, du 13 août 2015 et du 10 janvier 2017), et conduite d’un véhicule automobile malgré le refus, le retrait ou l’interdiction de l’usage du permis (faits du 13 février 2019). La sanction pour l’escroquerie va d’une peine pécuniaire à une peine privative de liberté de cinq ans au plus (cf. art. 146 al. 1 CP). Il en va de même pour le faux dans les titres (art. 251 ch. 1 CP). Quant à la conduite d’un véhicule automobile malgré le refus, le retrait ou l’interdiction de l’usage du permis, cette infraction est sanctionnée d’une peine privative de liberté de trois ans au plus ou d’une peine pécuniaire. Pour ce qui est des escroqueries, il est nécessaire, compte tenu de la nature des infractions et des montants en cause, de prononcer une peine privative de liberté pour chacune d’elles. En effet, une peine pécuniaire ne permettrait pas à la prévenue de prendre conscience de la gravité de ses actes et de ses responsabilités, ni de palier de manière efficace le risque de récidive. Dans la mesure où les faux dans les titres ont été commis en lien étroit avec l’escroquerie, il se justifie de les sanctionner également par une peine privative de liberté. Ces infractions entrent par conséquent en concours. S’agissant de l’infraction à la LCR en revanche, une peine pécuniaire semble suffisante en l’espèce. 4.3.1. En ce qui concerne les infractions d’escroquerie et de faux dans les titres, l’infraction la plus grave est en l’espèce l’escroquerie. Pour cette infraction, la culpabilité objective de la prévenue doit être qualifiée de moyenne. Elle a mis en place, avec son mari, un édifice de mensonges afin d’obtenir de l’argent liquide en quantité, sans remplir les conditions d’octroi ni être en mesure de procéder au remboursement. La prévenue a en outre réitéré ce comportement à plusieurs reprises. S’agissant de la culpabilité subjective, elle est moyenne également. Le comportement incriminé ne s’explique en effet que par l’appât du gain et de l’argent facile. Le fait que la troisième infraction est restée au stade de la tentative sera également pris en compte, tout en précisant que ce n’est que pour des raisons indépendantes de sa volonté que la troisième tentative n’a pas abouti (cf. art. 22 al. 1 CP). Compte tenu de ces éléments, une peine privative de liberté de neuf mois est adéquate pour sanctionner les infractions d’escroquerie, qui entrent en concours réel entre elles. Tribunal cantonal TC Page 15 de 18 A cette condamnation s'ajoutent celles pour faux dans les titres. A cet égard, on précisera que ces infractions sont étroitement liées à celles d’escroquerie. La culpabilité objective et subjective de la prévenue doit être qualifiée de légère à moyenne s’agissant de ces infractions dans la mesure où il ne s’agissait que d’un moyen pour parvenir à une fin, à savoir obtenir les crédits demandés sans en remplir les conditions ni être en mesure de les rembourser. Les facteurs liés à l'auteur elle-même doivent être qualifiés de neutres, tout en relevant que la collaboration de la prévenue en procédure a été médiocre et qu’elle a principalement rejeté la faute sur son mari, ce qui ne parle pas en sa faveur. Cela étant, il s’agit de sa première condamnation pour des délits économiques et il semble par ailleurs qu’elle a pris conscience des erreurs commises (cf. DO 500049 verso), de sorte que le risque de récidive doit être qualifié de modéré. Compte tenu de tout ce qui précède, la peine privative de liberté retenue pour les condamnations pour escroquerie sera augmentée légèrement à une durée totale de dix mois. 4.3.2. S’agissant de l’infraction de conduite d’un véhicule automobile malgré le refus, le retrait ou l’interdiction de l’usage du permis, la Juge de police a fixé la sanction à une peine pécuniaire de</w:t>
      </w:r>
    </w:p>
    <w:p>
      <w:r>
        <w:rPr>
          <w:b/>
        </w:rPr>
        <w:t>E. 15</w:t>
      </w:r>
    </w:p>
    <w:p>
      <w:r>
        <w:t>jours-amende et arrêté le montant du jour-amende à CHF 30.-, sanction dont la mesure n’est pas contestée en appel et qui paraît au surplus raisonnable compte tenu des faits. Elle sera donc confirmée. 4.4. En ce qui concerne la peine privative de liberté, elle a été assortie d’un sursis complet par la Juge de police, ce qui sera confirmé sans discussion en appel compte tenu de l’interdiction de la reformatio in pejus. Quant à la peine pécuniaire, que la Juge de police a refusé d’assortir du sursis, on retiendra que la prévenue se trouvait en situation de récidive spéciale pour des infractions en matière de circulation routière dès lors qu’elle avait été condamnée, par ordonnance pénale du 20 avril 2018, à une peine pécuniaire de 10 jours-amende pour une violation grave des règles de la circulation routière. Elle a certes expliqué que cette précédente condamnation était liée à un accident dû à un animal qui avait traversé inopinément la chaussée (cf. DO 500049 verso), mais on notera que c’est justement cet évènement qui est à l’origine du retrait de permis dont elle a fait abstraction en prenant néanmoins le volant le 13 février 2019. Il faut en conclure que la prévenue n’a que peu de respect pour la législation sur la circulation routière, de sorte qu’il existe de sérieux doutes sur ses perspectives d'amendement. On notera encore que la Juge de police a renoncé à révoquer deux sursis antérieurs octroyés à la prévenue les 22 juin 2017 et 20 avril 2018 justement parce qu’elle avait estimé que la nouvelle peine pécuniaire devait être exécutée. Compte tenu de ces éléments, le jugement attaqué sera confirmé sur ce point et la peine pécuniaire de 15 jours-amende ne sera pas assortie du sursis. 5. 5.1. Les frais d'appel sont à la charge des parties dans la mesure où elles ont obtenu gain de cause ou succombé (art. 428 al. 1 CPP). Si elle rend une nouvelle décision, l'autorité d'appel se prononce également sur les frais fixés par l'autorité inférieure (art. 428 al. 3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Tribunal cantonal TC Page 16 de 18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En l'espèce, la prévenue est certes acquittée en ce qui concerne deux des cinq complexes de faits pour lesquels elle avait été condamnée en première instance. Cela étant, dans la mesure où il apparaît impossible de séparer les frais de justice pour chacune des infractions, les actes de procédure ayant été nécessaires et utiles en lien avec l’ensemble des faits reprochés, il n’y a pas lieu de modifier la répartition des frais de première instance (cf. arrêt TF 6B_904/2015 du 27 mai 2016 consid. 7.4). S’agissant des frais d’appel, ils seront mis à la charge de l’appelante à raison des deux tiers dès lors qu’elle obtient gain de cause sur une partie des infractions contestées, ce qui entraîne au surplus une légère réduction de la quotité de la peine. Le solde est laissé à la charge de l’Etat. Les frais de procédure d’appel sont fixés à CHF 1'100.- (émolument : CHF 1'000.- ; débours forfaitaires : CHF 100.-). 5.2.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7.7 % (art. 25 al. 1 de la loi du 12 juin 2009 sur la TVA [LTVA ; RS 641.20]). En l’espèce, Me Anna Noël a été désignée défenseur d’office de la prévenue par décision de la Juge de police de la Gruyère du 11 mai 2020, avec effet au 4 mai 2020, soit postérieurement à la procédure de première instance (cf. DO 500084). Cela étant, il peut être fait globalement droit à la liste de frais que Me Anna Noël a produite, qui fait état de quelque 20 heures de travail pour l'appel, y compris les opérations relevant de la correspondance forfaitaire. L'indemnité due à cette dernière est dès lors fixée à CHF 4'216.45, TVA par CHF 301.45 comprise, comme demandé. Conformément à l'art. 135 al. 4 CPP, A.________ sera tenu de rembourser les deux tiers de cette indemnité à l'Etat dès que sa situation financière le permettra. (dispositif en page suivante) Tribunal cantonal TC Page 17 de 18 la Cour arrête : I. L’appel est partiellement admis. Partant, les chiffres 2, 3.1 et 3.2 du jugement de la Juge de police de l'arrondissement de la Gruyère du 8 octobre 2019 ont dorénavant la teneur suivante : 2. A.________ 2.1 A.________ est acquittée des infractions de tentative d’escroquerie et de faux dans les titres pour les faits du 11 mars 2016 et du 22 mars 2016. A.________ est reconnue coupable d’escroquerie (faits du 30 juin 2015 et du 13 août 2015), tentative d’escroquerie (faits du 10 janvier 2017), faux dans les titres (faits du 30 juin 2015, du 13 août 2015 et du 10 janvier 2017) et conduite d’un véhicule automobile malgré le refus, le retrait ou l’interdiction de l’usage du permis (faits du 13 février 2019). 2.2 En application des art. 34, 40, 42, 44, 47, 49, 146 al. 1, 22 et 146 al. 1, et 251 ch. 1 CP, 10 al. 2 et 95 al. 1 let. b LCR, A.________ est condamnée : - à une peine privative de liberté de 300 jours, avec sursis pendant 3 ans ; - à une peine pécuniaire de 15 jours-amende, sans sursis ; le montant du jour-amende est fixé à CHF 30.-. 2.3 En cas de non-paiement de la peine pécuniaire sans sursis dans le délai qui sera fixé dans la liste de frais et si celle-ci est inexécutable par la voie de la poursuite pour dettes, elle fera place à 15 jours de peine privative de liberté (art. 36 al. 1 CP). 2.4 En application de l’art. 46 al. 2 CP, il est renoncé à révoquer le sursis accordé le 22 juin 2017 par le Ministère public du canton de Fribourg, à une peine pécuniaire de 90 jours-amende à CHF 30.-, délai d’épreuve 2 ans, prolongé d’un an le 20 avril 2018 par le Ministère public du canton de Fribourg, et le sursis accordé le 20 avril 2018 par le Ministère public du canton de Fribourg, à une peine pécuniaire de 10 jours-amende à CHF 30.-, délai d’épreuve de 5 ans. 3. En application des art. 421 et 426 CPP, les frais de procédure sont répartis comme suit : 3.1 Dossiers 50 19 16/17 Les frais de procédure sont mis à la charge de B.________ et A.________ pour moitié chacun. Ils sont fixés à CHF 1'000.- pour l'émolument de justice, auquel il convient d’ajouter l’émolument du Ministère public à hauteur de CHF1’080.-, et à CHF 190.- pour les débours, soit CHF 2'270.- au total (sous réserve d’opérations ou factures complémentaires). En cas de rédaction intégrale, l’émolument de justice sera porté à CHF 1'200.-. 3.2 Dossier 50 19 39 Les frais de procédure sont mis à la charge de A.________. Ils sont fixés à CHF 200.- pour l’émolument de justice auquel il convient d’ajouter l’émolument du Ministère public à hauteur de CHF 310.-, et à CHF 100.- pour les débours, soit CHF 610.- au total. Il est pris acte de l’entrée en force des chiffres 1 et 4 du jugement de la Juge de police de l'arrondissement de la Gruyère du 8 octobre 2019 dans la teneur suivante : Tribunal cantonal TC Page 18 de 18 1. B.________ 1.1 B.________ est reconnu coupable d’escroquerie, tentative d’escroquerie et faux dans les titres. 1.2 En application des art. 40, 41, 42, 44, 47, 49, 146 al. 1, 22 et 146 al. 1 et 251 ch. 1 CP, B.________ est condamné à une peine privative de liberté de 360 jours, avec sursis pendant 3 ans. 4. L’indemnité allouée au défenseur d’office de B.________ s’élève à CHF 11'818.95. En application de l’art. 135 al. 4 CPP, B.________ sera tenu de rembourser ce montant à l’Etat dès que sa situation financière le permettra. L’indemnité allouée au défenseur d’office de A.________ s’élève à CHF 11'294.60. En application de l’art. 135 al. 4 CPP, A.________ sera tenue de rembourser ce montant à l’Etat dès que sa situation financière le permettra. II. Les frais de la procédure d'appel, hors indemnités du défenseur d'office, sont fixés à CHF 1'100.- (émolument CHF 1'000.-; débours CHF 100.-). Ils sont mis à la charge de A.________ à raison des deux tiers, le solde étant laissé à la charge de l’État. III. L'indemnité de défenseur d'office de A.________ due à Me Anna Noël pour l'appel est fixée à CHF 4'216.45, TVA par CHF 301.45 comprise. En application de l’art. 135 al. 4 CPP, A.________ sera astreinte à rembourser les deux tiers de ce montant à l'État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décembre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