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29 vom 19. Oktober 2020</w:t>
      </w:r>
    </w:p>
    <w:p>
      <w:r>
        <w:t>FR Kantonsgericht, 2020-10-19, FR</w:t>
      </w:r>
    </w:p>
    <w:p>
      <w:r>
        <w:rPr>
          <w:b/>
        </w:rPr>
        <w:t xml:space="preserve">Quelle: </w:t>
      </w:r>
      <w:r>
        <w:t>https://mcp.opencaselaw.ch/entscheid/fr_gerichte_501_2020_29</w:t>
      </w:r>
    </w:p>
    <w:p>
      <w:r>
        <w:t>FR: FR_GERICHTE 501 2020 29 du 19 octobre 2020</w:t>
      </w:r>
    </w:p>
    <w:p>
      <w:r>
        <w:t>IT: FR_GERICHTE 501 2020 29 del 19 ottobre 2020</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le verdict de culpabilité retenu à son encontre pour les infractions de crime et de délit contre la LStup. Il conteste également, comme conséquence des</w:t>
      </w:r>
    </w:p>
    <w:p>
      <w:r>
        <w:t>Tribunal cantonal TC Page 4 de 11 acquittements demandés, la quotité de la peine privative de liberté prononcée à son encontre, l’absence de sursis à l’exécution de sa peine, son expulsion judiciaire obligatoire du territoire suisse pour une durée de 10 ans, ainsi que le traitement ambulatoire ordonné. De plus, il conteste, à titre subsidiaire, de manière indépendante, la quotité de la peine qu’il estime trop élevée en raison de la diminution de sa responsabilité pénale. Il conteste en outre, comme conséquence des modifications demandées, la répartition des frais de procédure. Dans ces conditions, la reconnaissance de culpabilité du prévenu pour les infractions de contravention à la LStup et à la LTV, son acquittement du chef de prévention de blanchiment d’argent, l’amende de CHF 500.- prononcée à son encontre, la confiscation et la destruction d’un joint et d’un téléphone portable, l’admission des conclusions civiles, la renonciation du prévenu à une indemnité, le montant de l’indemnité du défenseur d’office du prévenu et des frais de procédure sont entrés en force (art. 399 al. 4 et 402 CPP a contrario).</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n’est ainsi que relative en instance d’appel. L'autorité de recours peut notamment refuser des preuves nouvelles, lorsqu'une appréciation anticipée de ces preuves démontre qu'elles ne seront pas de nature à modifier le résultat de celles déjà administrées (ATF 136 I 229 consid. 5.3). Par ordonnance du 26 mai 2020, la direction de la procédure a rejeté la réquisition de preuves de l’appelant tendant à l’audition de cinq personnes appelées à donner des renseignements, soit H.________, F.________, E.________, I.________ et J.________. En séance de ce jour, A.________ n’a pas réitéré formellement sa réquisition de preuves. Il s’est toutefois plaint, lors de son audition, de l’absence de confrontation avec les personnes ayant fait des déclarations à charge. Si la Cour constate, avec l’appelant, qu’aucune confrontation n’a eu lieu entre lui et H.________, F.________, E.________, elle renonce à toutefois ordonner une confrontation à ce stade, les quantités mises en cause par ces personnes étant de très faible importance par rapport aux autres quantités reprochées au prévenu. En revanche, dans la mesure où l’appelant a requis, dans sa déclaration d’appel, à être confronté à ces personnes appelées à donner des renseignements, leurs déclarations à charge doivent être écartées du dossier en raison de l’absence de confrontation avec le prévenu. En effet, aux termes de l’art. 147 al. 1 CPP, les parties ont le droit d’assister à l’administration des preuves par le ministère public et de poser des questions aux comparants. Conformément à l'art. 6 par. 3 let. d CEDH, tout accusé a le droit d'interroger ou de faire interroger les témoins à charge. Il s'agit d'un des aspects du droit à un procès équitable consacré par l'art. 6 par. 1 CEDH qui exige, dans la règle, que les éléments de preuve soient produits en présence de l'accusé lors d'une audience</w:t>
      </w:r>
    </w:p>
    <w:p>
      <w:r>
        <w:t>Tribunal cantonal TC Page 5 de 11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Partant, les déclarations faites par H.________, F.________, E.________, ne sont pas exploitables à charge du prévenu. Compte tenu de ce qui précède, la Cour ne retiendra pas à la charge du prévenu 5 g. de cocaïne brute qu’il aurait vendus, soit 1 g. à H.________ et 4 g. à F.________ (cf. jugement attaqué, p. 19), et 8 g. de haschisch qu’il aurait vendus à E.________ (cf. jugement attaqué, p. 20). Pour les mêmes motifs, contrairement au Tribunal de première instance, la Cour ne tiendra pas compte non plus, dans l’appréciation des preuves (cf. infra, consid. 2.3), des déclarations de I.________ et de J.________, qui ont essentiellement trait aux liens entre C.________ et le prévenu (cf. jugement attaqué, p. 13).</w:t>
      </w:r>
    </w:p>
    <w:p>
      <w:r>
        <w:rPr>
          <w:b/>
        </w:rPr>
        <w:t>E. 2.1</w:t>
      </w:r>
    </w:p>
    <w:p>
      <w:r>
        <w:t>L’appelant conteste s’être livré à un quelconque trafic de stupéfiants. Il reproche au Tribunal d’avoir procédé à une appréciation arbitraire des faits et d’avoir méconnu le principe juridique in dubio pro reo. Il allègue que tous les témoignages à décharge n’ont pas été pris en compte, comme celui de K.________, de L.________, ou encore de ceux de M.________, N.________ et de O.________. Il relève également que les propos des principaux protagonistes ont régulièrement été modifiés d’une audition à l’autre, sans compter l’existence d’incohérences. En effet, P.________ a indiqué que l’appelant faisait parfois crédit (DO 2'147), alors que G.________ a relevé qu’il ne faisait jamais de cadeau (DO 2'113). L’appelant souligne également que P.________ a indiqué qu’il lui avait acheté des stupéfiants en 2017 et 2018 et que pour se faire, il se rendait dans son immeuble de Q.________ (DO 2'147), alors que l’appelant ne vit plus dans cet immeuble depuis la fin 2016-début 2017 (DO 2'077). L’appelant relève également que F.________ a déclaré qu’il passait chez lui pour le livrer (DO 2'129), alors que G.________ a relevé qu’elle se déplaçait chez lui (DO 2'112) et qu’il n’aimait pas quand trop de monde débarquait chez lui (DO 2'113). D.________ a quant à lui précisé que l’appelant ne lui avait jamais vendu de cocaïne, mais un dénommé R.________ (DO 2'099).</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Tribunal cantonal TC Page 6 de 11 d’administrer la preuve d’un fait pertinent, a apprécié de manière erronée le résultat de l’administration d’un moyen de preuve ou a fondé sa décision sur des faits erronés, en contradiction avec les pièces, par exemple (CR CPP-KISTLER VIANIN, 2011, art. 398, n. 19).</w:t>
      </w:r>
    </w:p>
    <w:p>
      <w:r>
        <w:rPr>
          <w:b/>
        </w:rPr>
        <w:t>E. 2.3</w:t>
      </w:r>
    </w:p>
    <w:p>
      <w:r>
        <w:t>Sous réserve des déclarations qui ont été écartées du dossier (cf. supra consid. 1.3), la Cour se réfère expressément à la motivation pertinente et convaincante du Tribunal (cf. jugement attaqué, p. 9 à 21), qui ne prête pas le flanc à la critique et qu’elle fait sienne (art. 82 al. 4 CPP). Elle la précise et la complète comme suit : De manière générale, la Cour constate que les déclarations et les dénégations du prévenu, lequel conteste catégoriquement toute implication dans un trafic de stupéfiants, ne sont pas crédibles du tout et ne permettent pas d’affaiblir la force probante des autres éléments de preuves rapportés par l’instruction. De plus, vu le diagnostic de schizophrénie paranoïde, les déclarations du prévenu sont sujettes à caution. Par exemple, lorsque le prévenu prétend, en appel, avoir été hospitalisé à Marsens en 2016, ce qui empêcherait sa présence à Fribourg et partant, la réalité de certaines ventes qui lui sont reprochées, force est de constater qu’il ressort de l’attestation établie le 29 janvier 2020 par l’hôpital de Marsens qu’il n’y a pas eu d’hospitalisation en 2016, mais en 2017 seulement. La Cour souligne en outre que dans une précédente affaire jugée le 18 mars 2019 (DO 1'027 ss), le Tribunal avait déjà dénié toute crédibilité aux dénégations du prévenu face à des preuves évidentes (DO 1'031). La Cour relève également que le fait que certaines personnes entendues aient déclaré qu’elles ignoraient que l’appelant se livrait à un trafic de stupéfiants ou qu’elles n’avaient pas constaté ce trafic ne permet pas de remettre en doute l’implication de l’appelant dans un trafic de stupéfiants dans la mesure où plusieurs autres personnes l’ont directement mis en cause et que les indices récoltés grâce aux moyens techniques mis en œuvres confirment le fait que le prévenu était actif dans un trafic de cocaïne, de haschich et de marijuana. Il est parfaitement possible que ces personnes disent la vérité, ce qui ne disculpe toutefois pas le prévenu. S’agissant des incohérences relevées par la défense, elles ne portent que sur des éléments secondaires qui ne sauraient mettre en doute la culpabilité de l’appelant. Au demeurant, le fait que certains clients de l’appelant ont décrit des pratiques différentes (faire crédit ou pas, livraison à domicile ou non), ne saurait décrédibiliser leurs déclarations puisqu’il est tout à fait possible que le prévenu adaptait ses pratiques en fonction du client avec qui il traitait. Il s’ensuit que la Cour retient les faits suivants à la charge du prévenu : Entre 2017 et 2018, A.________ a vendu une quantité totale minimale de 300 g. de marijuana. Entre 2016 et l’été 2018, il a vendu une quantité minimale de 540 g. de haschich (330 g. à C.________ ; 200 g. à D.________ ; 10 g. à F.________). Il a également remis gratuitement une quantité indéterminée de haschich à des connaissances. Durant la période comprise entre l’année 2011 et le 16 octobre 2018, A.________ a remis gratuitement une quantité indéterminée de cocaïne à des connaissances et a, entre 2016 et le 16 octobre 2018, vendu une quantité totale de 175 grammes de cocaïne brute, ce qui correspond à 103.25 grammes de cocaïne pure en tenant compte d’un taux de pureté de 59% retenu par le Tribunal et non contesté en appel (100 g. brut à C.________ ; 20 g. brut à D.________ ; 55 g. brut</w:t>
      </w:r>
    </w:p>
    <w:p>
      <w:r>
        <w:t>Tribunal cantonal TC Page 7 de 11 à G.________). Cette quantité de cocaïne pure est constitutive du cas grave au sens de l’art. 19 al. 2 let a LStup. Pour l’ensemble de ces faits, A.________ doit être reconnu coupable de crime à la LStup au sens de l’art. 19 al. 1 let. c et al. 2 let. b LStup et non pas de délit et de crime à la LStup, comme l’a retenu le Tribunal, dans la mesure où le crime à la LStup absorbe le délit à la LStup et qu’il est fait masse de toutes les quantités (ATF 110 IV 99). Cette correction sera opérée d’office dans le dispositif de l’arrêt.</w:t>
      </w:r>
    </w:p>
    <w:p>
      <w:r>
        <w:rPr>
          <w:b/>
        </w:rPr>
        <w:t>E. 3.1</w:t>
      </w:r>
    </w:p>
    <w:p>
      <w:r>
        <w:t>La culpabilité de l’appelant est confirmée en appel. L’appelant conteste cependant la quotité de la peine privative de liberté à titre indépendant et invoque une violation de l’art. 47 CP. Il considère que la peine prononcée en première instance est trop sévère compte tenu de ses problèmes de santé existant au moment des faits et de sa responsabilité moyennement diminuée à dire d’expert.</w:t>
      </w:r>
    </w:p>
    <w:p>
      <w:r>
        <w:rPr>
          <w:b/>
        </w:rPr>
        <w:t>E. 3.2</w:t>
      </w:r>
    </w:p>
    <w:p>
      <w:r>
        <w:t>Le Tribunal a exposé correctement les bases légales et la jurisprudence relatives à la fixation de la peine, notamment en matière de trafic de stupéfiants (cf. jugement attaqué, p. 25 à 34) ainsi que sur la manière de fixer une peine complémentaire et la Cour y renvoie (art. 82 al. 4 CPP).</w:t>
      </w:r>
    </w:p>
    <w:p>
      <w:r>
        <w:rPr>
          <w:b/>
        </w:rPr>
        <w:t>E. 3.3</w:t>
      </w:r>
    </w:p>
    <w:p>
      <w:r>
        <w:t>S’agissant de la quotité de la peine, la Cour ne peut que se rallier à la motivation pertinente et convaincante du Tribunal (cf. jugement attaqué, p. 34 à 37), qu'elle fait sienne et à laquelle elle se réfère expressément (art. 82 al. 4 CPP). Elle précise simplement que les quantités de stupéfiants à prendre en considération font masse conformément à la jurisprudence et qu’il n’y a pas lieu d’opérer un concours entre l’art. 19 ch. 1 et l’art. 19 ch. 2 LStup. La Cour retient partant qu’une peine hypothétique de base de 18 mois est adaptée pour cette infraction. Cette peine tient compte du fait que la culpabilité objectivement lourde est ramenée à une culpabilité subjective moyenne en raison de la diminution moyenne de responsabilité pénale constatée par l’expert. S’agissant de la très légère diminution des quantités retenues de cocaïne brute vendue qui est passée de 180 à 175 g. (106.2 g. pure à 103.25 g. pure), et de haschich vendu qui est passée de 548 g. à 540 g., elle n’a pas d’influence sur la peine à prononcer. Partant, la peine privative de liberté de 15 mois prononcée, laquelle est complémentaire à celle infligée le 18 mars 2019 et de laquelle seront déduites la détention provisoire subie du 16 octobre 2018 au 24 juillet 2019 et l’exécution anticipée de peine subie dès le 25 juillet 2019, est confirmée.</w:t>
      </w:r>
    </w:p>
    <w:p>
      <w:r>
        <w:rPr>
          <w:b/>
        </w:rPr>
        <w:t>E. 4</w:t>
      </w:r>
    </w:p>
    <w:p>
      <w:r>
        <w:t>L’appelant ne conteste pas l’absence d’octroi du sursis à l’exécution de sa peine de manière indépendante et ne motive aucunement ce grief que ce soit dans sa déclaration d’appel ou en séance de ce jour. La Cour n’est ainsi pas tenue de revoir ce point à titre indépendant.</w:t>
      </w:r>
    </w:p>
    <w:p>
      <w:r>
        <w:rPr>
          <w:b/>
        </w:rPr>
        <w:t>E. 5</w:t>
      </w:r>
    </w:p>
    <w:p>
      <w:r>
        <w:t>L’appelant ne conteste son expulsion obligatoire de suisse pour une durée de 10 ans que comme conséquence des acquittements demandés (cf. PV de ce jour, p. 6) et ne motive aucunement ce grief à titre indépendant. La Cour n’est ainsi pas tenue de revoir ce point à titre indépendant.</w:t>
      </w:r>
    </w:p>
    <w:p>
      <w:r>
        <w:t>Tribunal cantonal TC Page 8 de 11</w:t>
      </w:r>
    </w:p>
    <w:p>
      <w:r>
        <w:rPr>
          <w:b/>
        </w:rPr>
        <w:t>E. 6</w:t>
      </w:r>
    </w:p>
    <w:p>
      <w:r>
        <w:t>L’appelant ne conteste le traitement ambulatoire au sens de l’art. 63 CP ordonné uniquement comme conséquence des acquittements demandés et ne motive aucunement ce grief. La Cour n’est ainsi pas tenue de revoir ce point à titre indépendant.</w:t>
      </w:r>
    </w:p>
    <w:p>
      <w:r>
        <w:rPr>
          <w:b/>
        </w:rPr>
        <w:t>E. 7</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7.1</w:t>
      </w:r>
    </w:p>
    <w:p>
      <w:r>
        <w:t>Il n'y a pas lieu de modifier la répartition des frais opérée en première instance dans la mesure où même si la Cour a très légèrement réduit la quantité de cocaïne et de haschich sur laquelle portait le trafic du prévenu, sa culpabilité pour crime contre la LStup a été confirmée. Pour les mêmes raisons, la Cour n'a pas à s'écarter de l'obligation de remboursement des frais de défense d'office telle qu'elle est prévue par l'art. 135 al. 4 CPP. S’agissant des frais de la procédure d’appel, le prévenu a succombé sur tous les points de son appel, à l’exception de la très légère rédution de la quantité de cocaïne et de haschich retenue. Celle-ci n’a cependant pas eu d’influence sur la qualification juridique des faits en crime contre la LStup, ni sur les autres points du jugement qui ont été confirmés. Partant, il se justifie de mettre les frais judiciaires de la procédure d’appel à la charge du prévenu. Ils sont fixés à CHF 3’300.- conformément aux art. 424 CPP, 124 LJ, 33 à 35 et 43 RJ (émolument: CHF 3'000.-; débours: CHF 300.-), hors frais afférents à la défense d’office.</w:t>
      </w:r>
    </w:p>
    <w:p>
      <w:r>
        <w:rPr>
          <w:b/>
        </w:rPr>
        <w:t>E. 7.2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t>Tribunal cantonal TC Page 9 de 11 En l'espèce, Me Sébastien Dorthe a été désigné défenseur d’office de A.________ par ordonnance du Ministère public du 17 octobre 2018 (DO 7'000). Cette désignation vaut également pour la procédure d'appel. Sur la base de la liste de frais qu’il a produite en séance, laquelle ne mentionne pas le total des heures effectuées, la Cour, tenant compte de la durée effective de l’audience de ce jour, estime qu’une durée de 20 heures représente les opérations justifiées pour la défense des intérêts du prévenu. A ce montant de CHF 3'600.- (20 x CHF 180.-) s’ajoutent les débours (5%), par CHF 180.-, et les frais de déplacement, par CHF 280.- (100 km à CHF 2.50 et un forfait à CHF 30.-), ainsi que la TVA (7.7%). Par conséquent, l’indemnité du défenseur d’office, pour la procédure d’appel, est fixée à CHF 4'372.60, TVA par CHF 312.60 comprise. En application de l’art. 135 al. 4 CPP, A.________ sera tenu de rembourser ce montant à l’Etat de Fribourg dès que sa situation financière le permettra.</w:t>
      </w:r>
    </w:p>
    <w:p>
      <w:r>
        <w:rPr>
          <w:b/>
        </w:rPr>
        <w:t>E. 8</w:t>
      </w:r>
    </w:p>
    <w:p>
      <w:r>
        <w:t>admet les conclusions civiles formulées les 8, 22 et 29 octobre 2018 par B.________ SA ; partant condamne A.________ à leur verser la somme de CHF 375.- à titre de dommages et intérêts ;</w:t>
      </w:r>
    </w:p>
    <w:p>
      <w:r>
        <w:rPr>
          <w:b/>
        </w:rPr>
        <w:t>E. 9</w:t>
      </w:r>
    </w:p>
    <w:p>
      <w:r>
        <w:t>prend acte que le prévenu a renoncé à toute indemnité au sens de l’art. 429 CPP ;</w:t>
      </w:r>
    </w:p>
    <w:p>
      <w:r>
        <w:rPr>
          <w:b/>
        </w:rPr>
        <w:t>E. 10</w:t>
      </w:r>
    </w:p>
    <w:p>
      <w:r>
        <w:t>fixe au montant de CHF 9'292.20 (dont CHF 664.35 à titre de TVA à 7,7%) l’indemnité due à Me Sébastien DORTHE, défenseur d’office du prévenu indigent ;</w:t>
      </w:r>
    </w:p>
    <w:p>
      <w:r>
        <w:t>Tribunal cantonal TC Page 11 de 11</w:t>
      </w:r>
    </w:p>
    <w:p>
      <w:r>
        <w:rPr>
          <w:b/>
        </w:rPr>
        <w:t>E. 11</w:t>
      </w:r>
    </w:p>
    <w:p>
      <w:r>
        <w:t>condamne A.________, en application des art. 421, 422 et 426 CPP, au paiement des 9/10 des frais de procédure, le 1/10 étant laissé à la charge de l’Etat de Fribourg ; (émoluments : CHF 2’700.- ; débours en l'état, sous réserve d'éventuelles opérations ou factures complémentaires : CHF 11’112.50) ;</w:t>
      </w:r>
    </w:p>
    <w:p>
      <w:r>
        <w:rPr>
          <w:b/>
        </w:rPr>
        <w:t>E. 12</w:t>
      </w:r>
    </w:p>
    <w:p>
      <w:r>
        <w:t>dit que A.________ ne sera tenu de rembourser à l’Etat de Fribourg, qui en fait l’avance, le montant de CHF 8’363.- que lorsque sa situation financière le lui permettra (art. 135 al. 4 CPP). II. En application de l’art. 428 al. 1 CPP, les frais de procédure d’appel dus à l’Etat sont mis à la charge de A.________. Ils sont fixés à CHF 3'300.- (émolument: CHF 3'000.-; débours: CHF 300.-). III. L'indemnité de défenseur d'office de Me Sébastien Dorthe pour la procédure d'appel est arrêtée à CHF 4'372.60, TVA par CHF 312.60 comprise. En application de l'art. 135 al. 4 CPP, A.________ sera tenu de rembourser ce montant à l'Etat dès que sa situation financière le permettra. IV. Aucune indemnité équitable au sens de l'art. 429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octobre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