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127 vom 3. Mai 2021</w:t>
      </w:r>
    </w:p>
    <w:p>
      <w:r>
        <w:t>FR Kantonsgericht, 2021-05-03, DE</w:t>
      </w:r>
    </w:p>
    <w:p>
      <w:r>
        <w:rPr>
          <w:b/>
        </w:rPr>
        <w:t xml:space="preserve">Quelle: </w:t>
      </w:r>
      <w:r>
        <w:t>https://mcp.opencaselaw.ch/entscheid/fr_gerichte_501_2020_127</w:t>
      </w:r>
    </w:p>
    <w:p>
      <w:r>
        <w:t>FR: FR_GERICHTE 501 2020 127 du 3 mai 2021</w:t>
      </w:r>
    </w:p>
    <w:p>
      <w:r>
        <w:t>IT: FR_GERICHTE 501 2020 127 del 3 maggio 2021</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Staatsan- waltschaft ist gemäss Art. 381 StPO berechtigt, zugunsten oder zuungunsten der beschuldigten Person ein Rechtsmittel zu ergreifen und somit zur Berufung legitimiert. Die Berufung richtet sich gegen das Strafmass. Die entsprechenden Rechtsbegehren sind präzise formuliert. Die Beru- fungserklärung entspricht mithin den gesetzlichen Anforderungen.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 Nachdem vorliegend nur die Strafzumessung zu überprüfen ist und anlässlich der Verhandlung keine Beweisanträge gestellt wurden, kann sich der Strafappellationshof auf die Einvernahme des Beschuldigten beschränken.</w:t>
      </w:r>
    </w:p>
    <w:p>
      <w:r>
        <w:rPr>
          <w:b/>
        </w:rPr>
        <w:t>E. 1.4</w:t>
      </w:r>
    </w:p>
    <w:p>
      <w:r>
        <w:t>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w:t>
      </w:r>
    </w:p>
    <w:p>
      <w:r>
        <w:t>Kantonsgericht KG Seite 4 von 14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Hat der Täter indessen mehrere selbständige strafbare Handlungen begangen, so ist in Bezug auf jede einzelne Handlung gesondert zu prüfen, ob das alte oder das neue Recht milder ist (vgl. BGE 134 IV 82 E 6.2.3). Das neue Recht hat das Sanktionenregime verschärft, so dass die bis am 31. Dezember 2017 geltenden Bestimmungen grundsätzlich das mildere Recht sind. Sie sind somit grundsätzlich auf die vor diesem Datum begangenen Taten anzuwenden. Da vorliegend aber für das Verbrechen gegen das Betäubungsmittelgesetz nur eine Freiheitsstrafe von über einem Jahr in Frage kommt und die entsprechende Bestimmung für diesen Fall keine Änderung erfahren hat, kann die vorlie- gende Angelegenheit ganzheitlich dem neurechtlichen Sanktionensystem unterstellt werden. Art. 19 BetmG wurde mit Bundesgesetz vom 20. März 2008, in Kraft seit dem 1. Juli 2011, im Wortlaut abgeändert, wobei die angedrohte Sanktion für die qualifizierte Widerhandlung gemäss Abs. 2 keine Änderung erfahren hat. Da die meisten Tathandlungen nach dem 1. Juli 2011 statt- gefunden haben, kommt auch hier die neurechtliche Bestimmung zur Anwendung. 2. Die Berufungsführerin ficht die Strafzumessung bezüglich der Verbrechen gegen das BetmG an (Dispositiv Ziff. 3). Die Busse von CHF 800.- wegen Übertretung des BetmG wird nicht angefoch- ten. Die Berufungsführerin macht geltend, dass die ausgefällte Freiheitsstrafe von 36 Jahren zu milde und nicht schuldangemessen sei. Sie beantragt, dass der Beschuldigte zu einer Freiheits- strafe von 48 Monaten zu verurteilen sei. Sie macht implizit eine Verletzung von Art. 47 StGB geltend und bringt insbesondere vor, dass angesichts der gehandelten Kokainmenge, dem Ausmass der Gefährdung bei einer Vielzahl von Abnehmern, der aussergewöhnlich langen Dauer sowie des verwerflichen Verhaltens die objektive und subjektive Tatschwere zu wenig berücksich- tigt worden seien. 2.1.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w:t>
      </w:r>
    </w:p>
    <w:p>
      <w:r>
        <w:t>Kantonsgericht KG Seite 5 von 14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In BGE 121 IV 202 hielt das Bundesgericht fest, die Betäubungsmittelmenge sei ein wichtiger Strafzumessungsfaktor, aber keineswegs von vorrangiger Bedeutung. Massgebend sei das Verschulden des Täters, und dieses hänge wesentlich auch davon ab, in welcher Funktion der Täter am Betäubungsmittelhandel mitwirkte. Diese Rechtsprechung ändert nichts daran, dass der Betäubungsmittelmenge neben der hierarchischen Stellung wesentliches Gewicht zukommt, nämlich einerseits nach Massgabe der hierarchischen Stellung, weil diese weitgehend die Gefähr- lichkeit des kriminellen Vorgehens bestimmt, und andererseits nach Massgabe der Drogenmenge, worauf Art. 19 Abs. 2 Bst. a BetmG für die Qualifikation abstellt. Die Drogenmenge fällt ins Gewicht, auch wenn sie sich nicht gleichsam linear straferhöhend auswirken darf. Bei Personen, die auf einer niedrigeren Hierarchiestufe tätig waren, ist keineswegs aus diesem Grund eine Straf- minderung vorzunehmen, vielmehr führt ein Aufstieg in der Bandenhierarchie zu einer Straferhö- hung. Denn mit der Hierarchiestufe steigt die Verantwortung und damit das Verschulden (Urteil BGer 6B_687/2016 vom 12. Juli 2017 E. 1.4.3 mit Hinweisen). 2.2. 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 Nach der neuesten bundesgerichtlichen Rechtsprechung hat der Richter, welcher mehrere Taten zu beurteilen hat, wovon mindestens eine Tat vor der Verurteilung wegen anderer Taten begangen wurde, in zwei Schritten vorzugehen. Zuerst muss er sich mit den Straftaten befassen, die vor dem fraglichen Urteil begangen wurden. Der Richter muss prüfen, ob mit Blick auf die Art der vorgese- henen Strafe die Anwendung von Art. 49 Abs. 2 StGB in Betracht kommen könnte. Ist das der Fall, hat er unter Berücksichtigung des sich aus Art. 49 Abs. 1 StGB ergebenden Schärfungsgrundsat- zes eine Zusatzstrafe zur Grundstrafe festzulegen. Kann dagegen Art. 49 Abs. 2 StGB nicht ange- wendet werden, weil die Strafart, die für die vor dem Urteil begangenen Straftaten vorgesehen ist, von derjenigen der bereits verhängten Strafe abweicht, so muss der Richter eine zu kumulierende</w:t>
      </w:r>
    </w:p>
    <w:p>
      <w:r>
        <w:t>Kantonsgericht KG Seite 6 von 14 Strafe verhängen. In der Folge berücksichtigt der Richter dann die Straftaten, die nach dem vorausgegangenen Urteil begangen wurden und setzt für diese gegebenenfalls unter Anwendung von Art. 49 Abs. 1 StGB eine unabhängige Strafe fest. Schliesslich fasst er die Zusatzstrafe oder die zu kumulierende Strafe, die zur Bestrafung der vor dem vorausgegangenen Urteil begangen Straftat(en) verhängt wurde(n), mit der Strafe zusammen, die zur Sanktionierung der nach diesem Urteil begangenen Straftaten verhängt wurde (BGE 145 IV 1 E. 1.3). Bei mehreren Vorstrafen muss jede der früheren Straftaten mit der auf die Begehung der Tat fol- genden Verurteilung verknüpft werden; ein Strafurteil muss nämlich grundsätzlich alle verwerfli- chen Taten ahnden, die vor seiner Ausfällung begangen wurden. Die Verknüpfung früherer Taten mit der darauffolgenden Verurteilung erlaubt die Bildung von Deliktsgruppen (vgl. Urteil BGer 6B_911/2018 vom 5. Februar 2019 E. 1.2.2). Das Gericht muss – bei der Strafzumessung – grund- sätzlich Aufteilungen vornehmen, die jede vorhergehende Verurteilung betreffen. Konkret wird es die vor der ersten Verurteilung begangenen Straftaten beurteilen und eine Zusatzstrafe oder kumulierende Strafe zu der damals ausgefällten festlegen müssen, dann diese Operation in Bezug auf die vor der zweiten und dann auf die vor der dritten Verurteilung begangenen Straftaten wiederholen müssen, bevor es schliesslich die Strafe in Bezug auf die nach dieser letzten Verurtei- lung begangenen Straftaten festlegt (vgl. BGE 145 IV 377 E. 2.3.2). Schliesslich stellt sich die Frage, wie mit möglichen Straftaten umzugehen ist, die vor einer frühe- ren Verurteilung begannen und nach dieser endeten oder mit Straftaten, die als Einheit betrachtet werden, wie der gewerbsmässige Betrug oder Widerhandlungen gegen das Betäubungsmittelge- setz. Im Bereich des gewerbsmässigen Betrugs hat das Bundesgericht anerkannt, dass eine Verurteilung wegen gewerbsmässigen Betrugs besondere Schwierigkeiten in Bezug auf die teilwei- se retrospektive Konkurrenz stellen kann. Hat das Gericht ein gewerbsmässiges Delikt zu beurtei- len, von dem der eine Teil der Einzeltaten vor und der andere Teil nach einer früheren Verurteilung begangen worden ist, hat es die strafbaren Handlungen als Einheit zu betrachten, wobei sich die Einzelakte im Rahmen der Strafzumessung in denjenigen Teil des Delikts eingliedern, in welchen die letzte Einzeltat fällt. Wenn somit die letzte Betrugshandlung nach der letzten Verurteilung begangen wurde, wird dafür eine eigenständige Strafe festgesetzt und Art. 49 Abs. 2 StGB nicht angewendet (vgl. BGE 145 IV 377 E. 2.3.3). Diese Rechtsprechung muss auch auf Widerhandlun- gen gegen das Betäubungsmittelgesetz anwendbar sein, bei denen insbesondere für die Beurtei- lung ob ein schwerer Fall im Sinne von Art. 19 Abs. 2 BetmG vorliegt oder nicht, die gesamte Menge aus den verschiedenen, einem Beschuldigten vorgeworfenen Transaktionen zusammenge- zählt wird (vgl. Urteil KG FR 501 2017 223 vom 5. September 2019 E. 3.2.4). 2.3. Ist ein Urteil zu begründen, so hält das Gericht in der Begründung auch die für die Zumes- sung der Strafe erheblichen Umstände und deren Gewichtung fest (Art. 50 StGB). Der Richter muss die Überlegungen, die er bei der Bemessung der Strafe vorgenommen hat, in den Grundzü- gen wiedergeben,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 zungen des Strafaufschubs im Sinne einer günstigen beziehungsweise nicht ungünstigen Progno- se im konkreten Einzelfall an sich erfüllt sind. Diese folgenorientierte Überlegung kann durchaus in die Strafzumessung einfliessen, bei welcher dem Richter ein weites Ermessen zusteht. Liegt die</w:t>
      </w:r>
    </w:p>
    <w:p>
      <w:r>
        <w:t>Kantonsgericht KG Seite 7 von 14 ins Auge gefasste Sanktion in einem Bereich, der die Grenze für den bedingten Vollzug (24 Mona- 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 len. Mit der Festlegung einer Obergrenze hat der Gesetzgeber zu erkennen gegeben, dass der Täter, gegen welchen eine Strafe jenseits dieses Grenzbereichs auszusprechen ist, die nachteili- gen Auswirkungen des Strafvollzugs auf sich zu nehmen hat. Dies gilt für den Täter, dessen Strafe nur knapp über der gesetzlichen Obergrenze liegt, genauso wie für denjenigen, welcher eine klar darüber hinausgehende, langjährige Freiheitsstrafe zu verbüssen hat (vgl. BGE 134 IV 17 E. 3.5).</w:t>
      </w:r>
    </w:p>
    <w:p>
      <w:r>
        <w:rPr>
          <w:b/>
        </w:rPr>
        <w:t>E. 3</w:t>
      </w:r>
    </w:p>
    <w:p>
      <w:r>
        <w:t>A.________ wurde schuldig gesprochen der qualifizierten Widerhandlung gegen das Betäubungs- mittelgesetz, begangen in der Zeit vom 28. Mai 2005 bis 13. September 2018 (Art. 19 Abs. 2 Bst. a BetmG) und der Übertretung des Bundesgesetzes über die Betäubungsmittel, begangen in der Zeit vom 28. Mai 2017 bis 13. September 2018.</w:t>
      </w:r>
    </w:p>
    <w:p>
      <w:r>
        <w:rPr>
          <w:b/>
        </w:rPr>
        <w:t>E. 3.1</w:t>
      </w:r>
    </w:p>
    <w:p>
      <w:r>
        <w:t>Der Strafrahmen für eine qualifizierte Widerhandlung gegen das Betäubungsmittelgesetz (BetmG) beträgt Freiheitsstrafe von einem Jahr bis zu 20 Jahren, womit eine Geldstrafe verbunden werden kann (Art. 19 Abs. 2 BetmG i.V.m. Art. 40 Abs. 2 StGB). Der Konsum von Betäubungsmit- teln wird nach Art. 19a BetmG mit Busse bestraft.</w:t>
      </w:r>
    </w:p>
    <w:p>
      <w:r>
        <w:rPr>
          <w:b/>
        </w:rPr>
        <w:t>E. 3.2</w:t>
      </w:r>
    </w:p>
    <w:p>
      <w:r>
        <w:t>Der Leitgedanke des BetmG besteht darin, die Gesellschaft vor gesundheitlicher Beein- trächtigung als Folge von Drogenmissbrauch und den damit zusammenhängenden Drittwirkungen zu schützen. Geschütztes Rechtsgut der Strafbestimmungen des BetmG ist demnach die Gesund- heit in einem weiteren Sinn, also nicht nur die Gesundheit des Einzelnen, sondern die Gesundheit der Bevölkerung als Kollektiv (MAURER, in StGB/JStG Kommentar, mit weiteren Erlassen und Kommentar zu den Strafbestimmungen des SVG, BetmG und AuG/AIG, 20. Aufl. 2018, Art. 19 BetmG N. 2 mit Hinweisen). Das Betäubungsmittelstrafrecht dient somit dem Schutz der Volksge- 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 mein gefährliches Verhalten, ein Verhalten, welches in der Regel eine erhöhte Möglichkeit der Verletzung des betreffenden Rechtsgutes schafft (HUG-BEELI, Betäubungsmittelgesetz, Kommen- tar, 2016, Art. 19 N. 22). Auch wenn ihr keine vorrangige Bedeutung zukommt, ist die Betäubungsmittelmenge ein wichtiger Strafzumessungsfaktor (Urteil BGer 6B_1366/2016 vom 6. Juni 2017 E. 4.5). Die genaue Betäu- bungsmittelmenge und gegebenenfalls ihr Reinheitsgrad verlieren darüber hinaus an Bedeutung, wenn mehrere Qualifikationsgründe gemäss Art. 19 Abs. 2 BetmG gegeben sind, und sie werden umso weniger wichtig, je deutlicher der Grenzwert im Sinne von Art. 19 Abs. 2 Bst. a BetmG über- schritten ist (WIPRÄCHTIGER/KELLER, in Basler Kommentar Strafrecht I, 4. Aufl. 2019, Art. 47 N. 94 mit Hinweisen). Gemäss konstanter Praxis des Bundesgerichts ist durch eine Menge von 18 Gramm reinem Kokain ein schwerer Fall im Sinne von Art. 19 Abs. 2 Bst. a BetmG gegeben (BGE 145 IV 312 E. 2.1.3; 109 IV 143 E. 3b).</w:t>
      </w:r>
    </w:p>
    <w:p>
      <w:r>
        <w:rPr>
          <w:b/>
        </w:rPr>
        <w:t>E. 3.3</w:t>
      </w:r>
    </w:p>
    <w:p>
      <w:r>
        <w:t>A.________ wurde am 3. Mai 2012 vom Regionalgericht Bern-Mittelland wegen Verbre- chens gegen das Betäubungsmittelgesetz wegen Gefährdung der Gesundheit vieler Menschen (Art. 19 Abs. 2 lit. a BetmG) sowie wegen Vergehens gegen das Betäubungsmittelgesetz (Art. 19</w:t>
      </w:r>
    </w:p>
    <w:p>
      <w:r>
        <w:t>Kantonsgericht KG Seite 8 von 14 Abs. 1 BetmG) zu einer bedingten Freiheitsstrafe von 12 Monaten mit einer Probezeit von drei Jahren verurteilt. Mit den Strafbefehlen der Regionalen Staatsanwaltschaft Bern-Mittelland vom</w:t>
      </w:r>
    </w:p>
    <w:p>
      <w:r>
        <w:rPr>
          <w:b/>
        </w:rPr>
        <w:t>E. 3.4</w:t>
      </w:r>
    </w:p>
    <w:p>
      <w:r>
        <w:t>Zusatzstrafe zum Urteil vom 3. Mai 2012 Gestützt auf die Aussagen von B.________ ergibt sich für die Periode vom 28. Mai 2005 bis zum 3. Mai 2012 eine verkaufte Menge von rund 266g Kokain brutto (83 Monate x 4g x 0,8). Dies entspricht bei einem Reinheitsgrad von 38% einer Menge von 101g reinem Kokain, womit der Grenzwert zum schweren Fall um ein Mehrfaches überschritten ist. Es ist aber auch dem Umstand Rechnung zu tragen, dass der Beschuldigte nur eine, bereits drogenabhängige Konsumentin für deren Eigenkonsum beliefert hat und er zu dieser ein spezielles Verhältnis pflegte, was strafmin- dernd zu berücksichtigen ist (vgl. BGE 120 IV 334). Der Beschuldigte betrieb den Handel auch, um seinen eigenen Konsum zu finanzieren. Angesichts aller dieser Umstände scheint eine hypotheti- sche Grundstrafe von ca. 16 Monaten für diese schwerwiegendere Straftat als angemessen. Bei der Vorstrafe von 12 Monaten muss es sich um eine Drogenmenge um den Grenzwert gehandelt haben, so dass sich – hätte das Gericht die Straftaten gleichzeitig beurteilt – eine Gesamtstrafe von 18 Monaten aufdrängt. Dies ergibt eine Zusatzstrafe von 6 Monaten zum Urteil vom 3. Mai 2012.</w:t>
      </w:r>
    </w:p>
    <w:p>
      <w:r>
        <w:rPr>
          <w:b/>
        </w:rPr>
        <w:t>E. 3.5</w:t>
      </w:r>
    </w:p>
    <w:p>
      <w:r>
        <w:t>Strafe für die in der Zeit vom 4. Mai 2012 bis 13. September 2018 begangenen Delikte Wie vorstehend erwähnt, werden die in diesem Zeitraum begangenen Straftaten zu einer Einheit zusammengefasst und eine unabhängige Strafe ausgefällt. A.________ wurde schuldig gesprochen der qualifizierten Widerhandlung gegen das Betäubungs- mittelgesetz (Art. 19 Abs. 2 Bst. a BetmG) und der Übertretung des Bundesgesetzes über die Betäubungsmittel.</w:t>
      </w:r>
    </w:p>
    <w:p>
      <w:r>
        <w:rPr>
          <w:b/>
        </w:rPr>
        <w:t>E. 3.5.1</w:t>
      </w:r>
    </w:p>
    <w:p>
      <w:r>
        <w:t>A.________ hat in der Zeit vom 4. Mai 2012 bis 13. September 2018 in regelmässigen Abständen kleinere Mengen Drogen an insgesamt 15 Abnehmer verkauft. Er hat sich dabei beina- he täglich in irgendeiner Form mit dem Handel von Drogen beschäftigt, welcher von einem gene-</w:t>
      </w:r>
    </w:p>
    <w:p>
      <w:r>
        <w:t>Kantonsgericht KG Seite 9 von 14 rellen Vorsatz getragen war. Angesichts des engen Sachzusammenhangs in zeitlicher und räumli- cher Hinsicht sowie der gleichgelagerten Handlungen rechtfertigt es sich vorliegend eine Gesamt- betrachtung der Tatkomplexe der qualifizierten Widerhandlungen gegen das BetmG vorzunehmen (Urteile BGer 6B_492/2015 vom 2. Dezember 2015 E. 4.2.1 und 6B_1011/2014 vom 16. März 2015 E. 4.4). Es ist demnach eine einzige (Freiheits-)Strafe für den Handel mit Kokain für die vorgenannte Zeitperiode auszufällen.</w:t>
      </w:r>
    </w:p>
    <w:p>
      <w:r>
        <w:rPr>
          <w:b/>
        </w:rPr>
        <w:t>E. 3.5.2</w:t>
      </w:r>
    </w:p>
    <w:p>
      <w:r>
        <w:t>Bei der objektiven Schwere der Tat, der Schwere der Gefährdung bzw. der Verletzung des geschützten Rechtsgutes ist festzuhalten, dass der Beschuldigte während einer längeren Periode grosse Mengen an Betäubungsmitteln verkaufte und damit die Gesundheit einer grösseren Anzahl von Menschen gefährdete. Nach den nicht bestrittenen Feststellungen der Vorinstanz hat der Beschuldigte in der Zeit vom 28. Mai 2005 und dem 13. September 2018 insgesamt 1'768.80g Kokain mit einem durchschnittlichen Reinheitsgrad von 38% verkauft. Nach Abzug der im Rahmen der Festsetzung der Zusatzstrafe berücksichtigten Menge von 266g verbleibt noch eine Menge von 1'502.8g brutto bzw. 570.1g netto für die Zeit vom 4. Mai 2012 bis 13. September 2018. Mit dem Verkauf dieser Menge hat der Berufungsführer den Grenzwert für einen schweren Fall i.S.v. Art. 19 Abs. 2 BetmG (18 Gramm reines Kokain, BGE 145 IV 312 E. 2.1.3) um mehr als das 30-fache überschritten. Der Umstand, dass der Beschuldigte mit derart grossen Mengen an Betäubungsmit- teln Handel trieb, muss bei der Strafzumessung trotz Doppelverwertungsverbot straferhöhend berücksichtigt werden. Der Handel des Beschuldigten war geeignet, die Gesundheit einer erheblichen Anzahl Menschen in Gefahr zu bringen, umso mehr als er mit seinem Angebot den Bedarf einer grösseren Anzahl von Konsumenten abdecken konnte. Gemäss seinen eigenen Aussagen belieferte er insgesamt 15 Personen. Dabei hat er nebst Verkäufen im Grammbereich auch grössere Geschäfte getätigt, wobei die Abnehmer den Stoff wiederum an eine unbekannte Anzahl weiterer Personen veräusser- ten. Der Beschuldigte betrieb einen regelmässigen und gut organisierten Handel mit Kokain, welcher nicht lokal beschränkt war, sondern sich über die Kantonsgrenze hinweg regional erstreck- te. Er generierte dabei ein gewisses Einkommen, welches es ihm zum Teil ermöglichte, auf eine legale Erwerbstätigkeit, die ihm zweifelsohne möglich gewesen wäre, zu verzichten. Er widmete sich quasi hauptberuflich dem Betäubungsmittelhandel und betrieb diesen angesichts der umge- setzten Mengen mit erheblichem Aufwand. Er handelte dabei nicht als untergeordneten Teil einer kriminellen Organisation zum Betäubungsmittelhandel, sondern als selbständiger und unabhängi- ger Einkäufer und Verkäufer auf eigene Rechnung. Er behielt die gesamten Einnahmen für sich selber. Die kriminelle Energie muss unter diesen Umständen als erheblich bezeichnet werden. Aufgrund des selbstbestimmten Vorgehens, der grossen Menge und Streuung der gehandelten Betäubungsmittel sowie des erzielten Umsatzes muss sein objektives Verschulden als erheblich qualifiziert werden.</w:t>
      </w:r>
    </w:p>
    <w:p>
      <w:r>
        <w:rPr>
          <w:b/>
        </w:rPr>
        <w:t>E. 3.5.3</w:t>
      </w:r>
    </w:p>
    <w:p>
      <w:r>
        <w:t>Bei der subjektiven Tatschwere ist zu gewichten, dass der Berufungsgegner seine rege Handelstätigkeit direktvorsätzlich betrieben hat. Er zeigte keine Skrupel, im Wissen um die Wirkung der von ihm gehandelten Suchtstoffe, die Gesundheit vieler Menschen zu gefährden. Seine Motive waren überwiegend egoistisch und rücksichtslos. Er finanzierte damit nicht nur seinen eigenen Konsum, sondern auch einen Teil seines Lebensunterhalts. Offenbar zog er die Geldbeschaffung mit illegalem Handeln mit Drogen einem legalen Arbeitserwerb vor. Im Übrigen sind keine Anzeichen einer schweren Bedrängnis oder einer finanziellen Notlage auszumachen. Seine Taten zeugen von Rücksichtslosigkeit und Egoismus, was straferhöhend ins Gewicht fällt. Es ist nicht davon auszugehen, dass der Beschuldigte aus freien Stücken mit dem Handel aufge- hört hätte, wenn er nicht von der Polizei angehalten und in Untersuchungshaft versetzt worden</w:t>
      </w:r>
    </w:p>
    <w:p>
      <w:r>
        <w:t>Kantonsgericht KG Seite 10 von 14 wäre. Die eigene langjährige Drogenabhängigkeit ist unter diesen Umständen aber leicht bis mittel strafmildernd zu berücksichtigen. Im Sinne eines Zwischenfazits ist folglich festzustellen, dass die objektive und die subjektive Tatschwere mittelschwer wiegen.</w:t>
      </w:r>
    </w:p>
    <w:p>
      <w:r>
        <w:rPr>
          <w:b/>
        </w:rPr>
        <w:t>E. 3.5.4</w:t>
      </w:r>
    </w:p>
    <w:p>
      <w:r>
        <w:t>Was die Täterkomponente anbelangt, so kann auf die entsprechenden Ausführungen der Vorinstanz verwiesen werden (angefochtenes Urteil E. VI. 3.2, S. 16f.), welche sich der Strafappel- lationshof zu eigen macht (Art. 82 Abs. 4 StPO). Es bleibt diesbezüglich zu ergänzen, dass das Nachtatverhalten des Beschuldigten positiv zu werten ist. Seit seiner Entlassung aus der Untersu- chungshaft hat er sich wohl verhalten und eine Erwerbstätigkeit aufgebaut, welche es ihm erlaubt, seinen Verpflichtungen mit legalen Mitteln nachzukommen. Er hat gemäss eigenen Angaben seit- her weder Betäubungsmittel noch Zigaretten oder Alkohol konsumiert. Die einschlägigen Vorstrafen und auch das Verbüssen einer mehrmonatigen Freiheitsstrafe haben den Beschuldigten nicht davon abgehalten, noch während laufender Strafverfahren weiter zu delin- quieren. Diese negative Komponente wird durch die positive Entwicklung, die der Beschuldigte seit seiner letzten Entlassung durchgemacht hat, und durch Berücksichtigung der Auswirkungen der zu verbüssenden Strafe auf seine Zukunft, höchstens kompensiert, so dass die Täterkomponenten insgesamt neutral zu gewichten sind. Es wird daran erinnert, dass gemäss der Rechtsprechung die Auswirkung der Strafe auf die Zukunft des Verurteilten als Element der Spezialprävention nur Randkorrekturen erlaubt, da die Strafe immer im Verhältnis zum Verschulden stehen muss (vgl. Urteil BGer 6B_233/2020 vom 5. Juni 2020 E. 3.2; 6B_1276/2015 vom 29. Juni 2016 E. 2.2.2; 6B_1154/2014 vom 31. Mai 2016 E. 3.1 und die genannten Hinweise). Unter Berücksichtigung aller Strafzumessungsgründen erscheint für die in der Zeit vom 4. Mai 2012 bis 13. September 2018 begangenen Verbrechen und die Menge von 570.1g netto Kokain eine Freiheitsstrafe von 42 Monaten als tat- und schuldangemessen. 4. 4.1. Nachdem eine Zusatzstrafe von 6 Monaten und zusätzlich eine unabhängige Strafe von 42 Monaten ausgefällt wurden, kommt vorliegend weder ein bedingter noch ein teilbedingter Straf- vollzug in Frage. Die ausgefällte Strafe ist zu vollziehen. 4.2. Hierbei gilt es zu bemerken, dass selbst bei einer Bestätigung des erstinstanzlichen Urteils mit 36 Monaten Freiheitsstrafe der teilbedingte Strafvollzug entgegen der Annahme der Vorinstanz nicht hätte gewährt werden können. Gemäss der neuesten bundesgerichtlichen Rechtsprechung hat das Gericht bei einer teilweisen retrospektiven Konkurrenz nicht für jeden Teil der Delikte eine Prognose für den bedingten Straf- vollzug abzugeben. Es hat eine Prognose vielmehr im Zeitpunkt des Urteils unter Würdigung der Situation der beschuldigten Person im Moment der Verurteilung zu stellen. Für die Prüfung, ob für die auszusprechende Freiheitsstrafe die Voraussetzungen der Gewährung des bedingten oder teil- bedingten Strafvollzuges erfüllt sind, hat das Gericht sämtliche Zusatzstrafen, Grundstrafen und zu kumulierenden Strafen zu addieren und hernach zu entscheiden, ob diese hypothetische Gesamt- strafe die Anwendung von Art. 42 oder 43 StGB erlaubt (vgl. BGE 145 IV 377 E. 2.2 und 2.4.1). Im Bereich der Freiheitsstrafen fügt das Bundesgericht an, dass nach der Festsetzung der Zusatz- strafen und zu kumulierenden Strafen die Gesamtdauer zu betrachten ist, indem die früher ausge- sprochenen Strafen hinzugerechnet werden. Übersteigt die so errechnete Gesamtdauer zwei</w:t>
      </w:r>
    </w:p>
    <w:p>
      <w:r>
        <w:t>Kantonsgericht KG Seite 11 von 14 Jahre, muss der bedingte Strafvollzug ausgeschlossen werden (Art. 42 Abs. 1 StGB), während ein teilbedingter Strafvollzug in Betracht gezogen werden kann, wenn die genannte Dauer drei Jahre nicht übersteigt (Art. 43 Abs. 1 StGB; vgl. BGE 145 IV 377 E. 2.4.2). Die von der Vorinstanz ausgesprochene Strafe von 36 Monaten hätte an sich teilbedingt ausge- sprochen werden können. Hingegen hat die Vorinstanz verkannt, dass zu dieser Strafe die mit Urteil vom 3. Mai 2012 ausgesprochene Strafe von 12 Monaten Freiheitsstrafe sowie die mit Straf- befehlen vom 7. September 2012 und 11. Februar 2014 ausgesprochenen Freiheitsstrafen von 60 bzw. 75 Tagen hinzuzurechnen sind, weshalb die hypothetische Gesamtstrafe 52.5 Monate betra- gen hätte und der teilbedingte Strafvollzug so oder anders nicht hätte gewährt werden können. 5. Kosten 5.1. Die beschuldigte Person trägt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Kostenregelung (Art. 428 Abs. 3 StPO). Vorliegend wurde die Berufung der Staatsanwaltschaft gutgeheissen. Bei vorliegenden Verfahrensausgang hat der Beschuldigte sowohl die erst- wie auch die oberin- stanzlichen Verfahrenskosten, ausmachend im erstinstanzlichen Verfahren CHF 11’900.- (Gerichtsgebühr: CHF 2'000.-; Auslagen: CHF 9'900.-) und im oberinstanzlichen Verfahren CHF 3'300.- (Gerichtsgebühr: CHF 3'000.-; Auslagen: CHF 300.-) zu tragen (Art. 426 und 428 StPO). 5.2. Dem Berufungsgegner wurde für das Verfahren ein amtlicher Verteidiger zugesprochen. Somit muss er nicht die Kosten einer Wahlverteidigung tragen, so dass er keinen Anspruch auf eine Entschädigung gemäss Art. 429 StPO hat (vgl. BGE 138 IV 205 E. 1). 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Es ist zulässig, dass der Stundenansatz des amtlichen unter jenem des gewählten Rechts- 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Rechtsanwalt Wohlhauser veranschlagt für das Berufungsverfahren vor dem Kantonsgericht einen Zeitaufwand von insgesamt 14.6 Stunden (inkl. des geschätzten Aufwands für die Berufungsver- handlung, exkl. Nachbearbeitung). Unter Berücksichtigung sämtlicher Umstände erscheint ein Zeit- aufwand von total 14 Stunden sowie eine Stunde für die Nachbearbeitung angemessen. Es ist</w:t>
      </w:r>
    </w:p>
    <w:p>
      <w:r>
        <w:t>Kantonsgericht KG Seite 12 von 14 somit von einem Arbeitsaufwand von 15 Stunden, ausmachend CHF 2’700.-, auszugehen. Die Entschädigung für die Auslagen beläuft sich auf CHF 135.- (5% von CHF 2’700.-) und die Reise- kosten auf CHF 30.-. Dem Gesagten zu Folge ist Rechtsanwalt Wohlhauser eine angemessene Entschädigung von CHF 3'085.60, inklusive CHF 220.60 Mehrwertsteuer, zu entrichten. Die Rückzahlungspflicht des Berufungsgegners gemäss Art. 135 Abs. 4 lit. a StPO bleibt vorbehal- ten. 5.3. Angesichts des Ausgangs des Berufungsverfahrens besteht kein Anspruch auf Entschädi- gung oder Genugtuung (vgl. Art. 429 StPO). Der Hof erkennt: I. Die Berufung wird gutgeheissen. Das Urteil des Strafgerichts des Sensebezirks vom 28. Mai 2020 wird in den Ziffern 3, 4 und 6 abgeändert und lautet neu wie folgt:</w:t>
      </w:r>
    </w:p>
    <w:p>
      <w:r>
        <w:rPr>
          <w:b/>
        </w:rPr>
        <w:t>E. 7</w:t>
      </w:r>
    </w:p>
    <w:p>
      <w:r>
        <w:t>September 2012 sowie 11. Februar 2014 wurde er u.a. wegen einer Übertretung des Betäu- bungsmittelgesetzes (Art. 19a BetmG) sowie diversen SVG-Delikten zu 60 bzw. 75 Tagen Frei- heitsstrafe verurteilt. Nach den vorerwähnten Erwägungen (oben E. 2.2.) ist festzustellen, dass gewisse vorliegend zu beurteilende Taten vor den erwähnten Verurteilungen begangen wurden. In Anwendung der obge- nannten Rechtsprechung wird für die vor der Verurteilung vom 3. Mai 2012 begangenen Straftaten eine Zusatzstrafe ausgefällt. Die Straftaten, welche nach dieser früheren Verurteilung begangen wurden, werden demgegenüber als Einheit betrachtet und im Rahmen der Strafzumessung für die zuletzt begangene Einzeltat berücksichtigt. Für diese zu einer Einheit zusammengefassten Strafta- ten wird eine unabhängige Strafe ausgesprochen. In diesem Zusammenhang ist zu berücksichtigen, dass lediglich der Verkauf von Kokain an B.________, welcher vorliegend im Zeitraum vom 28. Mai 2005 bis 11. Februar 2014 erfolgte, teil- weise vor dem Ausfällen der vorgenannten Vorstrafen begangen wurde. Gemäss Aussagen von B.________ kaufte sie in der Zeit von Januar 2001 bis Ende August 2018 durchschnittlich 4g Kokain pro Monat für den Eigenkonsum. Davon habe sie rund 80% bei A.________ bezogen. Dies entspreche einer Gesamtmenge von 678g Kokain brutto (act. 2071, Z. 41 ff.,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