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122 vom 29. März 2021</w:t>
      </w:r>
    </w:p>
    <w:p>
      <w:r>
        <w:t>FR Kantonsgericht, 2021-03-29, DE</w:t>
      </w:r>
    </w:p>
    <w:p>
      <w:r>
        <w:rPr>
          <w:b/>
        </w:rPr>
        <w:t xml:space="preserve">Quelle: </w:t>
      </w:r>
      <w:r>
        <w:t>https://mcp.opencaselaw.ch/entscheid/fr_gerichte_501_2020_122</w:t>
      </w:r>
    </w:p>
    <w:p>
      <w:r>
        <w:t>FR: FR_GERICHTE 501 2020 122 du 29 mars 2021</w:t>
      </w:r>
    </w:p>
    <w:p>
      <w:r>
        <w:t>IT: FR_GERICHTE 501 2020 122 del 29 marzo 2021</w:t>
      </w:r>
    </w:p>
    <w:p>
      <w:pPr>
        <w:pStyle w:val="Heading2"/>
      </w:pPr>
      <w:r>
        <w:t>Regeste</w:t>
      </w:r>
    </w:p>
    <w:p>
      <w:r>
        <w:t>Arrêt de la Cour d'appel pénal du Tribunal cantonal | Strafrecht</w:t>
      </w:r>
    </w:p>
    <w:p>
      <w:pPr>
        <w:pStyle w:val="Heading2"/>
      </w:pPr>
      <w:r>
        <w:t>Erwägungen</w:t>
      </w:r>
    </w:p>
    <w:p>
      <w:r>
        <w:rPr>
          <w:b/>
        </w:rPr>
        <w:t>E. 1</w:t>
      </w:r>
    </w:p>
    <w:p>
      <w:r>
        <w:t>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2e éd., 2006, n. 705; ATF 120 Ia 31 précité). Tribunal cantonal TC Page 5 de 8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En présence de versions contradictoires, il appartient au Tribunal de se forger son intime conviction sur la base des éléments pertinents du dossier et de la crédibilité des protagonistes aussi, ce qu'il apprécie librement (cf. art. 139 al. 1 et 10 al. 2 CPP; arrêt TF 6B_842/2011 du 9 janvier 2012 et 6S.257/2005 du 9 novembre 2005). L'appréciation des preuves doit se faire dans son ensemble et le juge peut être convaincu de la réalité d'un fait en se fondant sur le rapprochement de plusieurs éléments ou indices (preuve par indices: arrêt TF 6B_642/2012 du 22 janvier 2013, 6B_269/2012 du 17 juillet 2012). L'expérience générale de la vie peut aussi servir à la conviction du juge et les faits enseignés par cette expérience n'ont pas à être établis par des preuves figurant au dossier (arrêt TF 6B_860/2010 du 6 décembre 2010). Dans le cadre du principe de libre appréciation des preuves, rien ne s'oppose non plus à ne retenir qu'une partie des déclarations d'un témoin ou d’une victime globalement crédible (arrêt TF 6B_614/2012 du 15 février 2013, 6B_637/2012 du 21 janvier 2013). Enfin, lorsque l’accusé fait des déclarations contradictoires, il ne peut invoquer la présomption d’innocence pour contester les conclusions défavorables que le juge a, le cas échéant, tirées de ses déclarations (arrêt TF 6B_562/2010 du 28 octobre 2010 in JdT 2010 I 567). 2.3. La Cour se réfère expressément à la motivation pertinente et convaincante du Juge de police (cf. jugement attaqué, p. 8 à 10), qui ne prête pas le flanc à la critique et qu’elle fait sienne (art. 82 al. 4 CPP). Elle la complète comme suit : La Cour considère que les déclarations de D.________ sont crédibles et convaincantes, contrairement à la version du prévenu qui contient des incohérences. En effet, la dénonciatrice a déclaré avoir été choquée et ébranlée par l’incident (DO 3'002 s.). Le prévenu a pour sa part qualifié la fin de son dépassement de dangereux (DO 2'009) et de téméraire (DO 3’003), ce qui confirme que l’incident n’était pas sans danger. De plus, D.________ n’a pas directement dénoncé les faits à la police mais l’a fait 4 jours après, soit le 28 septembre 2019, ce qui lui a permis de réfléchir à l’incident survenu et à la portée de sa dénonciation qu’elle n’a donc pas fait à la légère. Elle a en outre fait des déclarations claires et constantes et le fait qu’elle n’a pas pu déterminer à quel endroit exactement était survenu l’incident ne remet pas en doute sa crédibilité dès lors qu’il s’agit d’un détail périphérique. Au contraire, le prévenu a déclaré qu’il n’avait pas vu la voiture de D.________ avant d’entreprendre le dépassement (DO 2'008). Cela n’est toutefois pas crédible dès lors qu’il se trouvait sur une ligne droite et qu’au plus tard au moment où il a déboité sur la voie d’à côté, il Tribunal cantonal TC Page 6 de 8 pouvait voir le véhicule qui précédait le camion et ainsi encore renoncer au dépassement. Il a également déclaré que la voiture arrivant en sens inverse se situait à 150 mètres de l’endroit où il se trouvait lorsqu’il s’est rabattu devant D.________ (DO 2'009 ; 13'027). Il ne peut toutefois être suivi dès lors que cela signifierait qu’il avait largement le temps pour dépasser la voiture de D.________ sans que la situation n’ait été dangereuse, comme il a lui-même qualifié la fin de sa manœuvre (DO 2'008), ni choquante. Il a de plus estimé sa propre vitesse à 90 km/h au moment du dépassement (DO 2'009), ce qui n’apparaît pas possible dans la mesure où D.________ roulait quant à elle à 80 km/h environ. En effet, pour dépasser D.________ très rapidement et ne pas entrer en collision avec le véhicule arrivant en sens inverse, il a plutôt dû rouler à une vitesse largement supérieure. Quant à l’espace entre le camion et la voiture de D.________ au moment du dépassement, force est d’admettre qu’il était suffisant pour que le prévenu se rabatte. Le prévenu a déclaré que le camion roulait à 45 km/h et que D.________ avait accéléré alors qu’il était en train de la dépasser (DO 2'009 ; 3'003). Ainsi, l’écart qui s’est creusé entre les deux véhicules était forcément suffisant pour que le prévenu se rabatte au milieu. Même à admettre que le camion avait lui aussi accéléré à la fin de la limitation à 50 km/h en sortant du village de Neyruz, il ne l’aurait pas fait aussi rapidement que la voiture dès lors qu’un camion est bien moins réactif qu’une automobile légère. A ces éléments s’ajoute encore le fait que la dénonciatrice n’avait aucun intérêt à faire de fausses déclarations, contrairement au prévenu qui risque une condamnation pénale et une sanction administrative. Quant au calcul auquel s’est livré l’appelant dans son mémoire d’appel, on ne saurait se fonder sur celui-ci dès lors que l’on ignore les vitesses et les distances exactes entre les véhicules impliqués. Il s’ensuit que la version des faits retenue par le Juge de police doit être confirmée.</w:t>
      </w:r>
    </w:p>
    <w:p>
      <w:r>
        <w:rPr>
          <w:b/>
        </w:rPr>
        <w:t>E. 1.1</w:t>
      </w:r>
    </w:p>
    <w:p>
      <w:r>
        <w:t>L’appel, déposé en temps utile contre un jugement final rendu par un tribunal de première instance (art. 398 al. 1, 399 al. 1 et 3 CPP), est recevable. A.________, prévenu condamné, a qualité pour interjeter appel (art. 104 al. 1 let. a, 382 al. 1 et 399 al. 1 et 3 CPP).</w:t>
      </w:r>
    </w:p>
    <w:p>
      <w:r>
        <w:rPr>
          <w:b/>
        </w:rPr>
        <w:t>E. 1.2</w:t>
      </w:r>
    </w:p>
    <w:p>
      <w:r>
        <w:t>Avec l'accord des parties, la direction de la procédure peut ordonner la procédure écrite lorsque l'appel est dirigé contre des jugements rendus par un juge unique (art. 406 al. 2 let. b CPP), ce qu'elle a choisi de faire en l'espèce ; le Ministère public y a donné son accord par courrier du 1er octobre 2020 et le prévenu par courrier du 20 octobre 2020. Le mémoire d'appel doit alors être motivé et déposé dans le délai judiciaire fixé par la direction de la procédure (art. 406 al. 3 CPP). En l'espèce, le 14 septembre 2020, l’appelant a déposé une déclaration d’appel motivée, remplissant les conditions de l’art. 390 CPP, et a ensuite renoncé, par courrier du 4 décembre 2020, à compléter la motivation de son appel. Partant, la motivation est conforme au prescrit de l'art. 385 al. 1 CPP. L'appel est ainsi recevable en la forme.</w:t>
      </w:r>
    </w:p>
    <w:p>
      <w:r>
        <w:rPr>
          <w:b/>
        </w:rPr>
        <w:t>E. 1.3</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rPr>
          <w:b/>
        </w:rPr>
        <w:t>E. 1.4</w:t>
      </w:r>
    </w:p>
    <w:p>
      <w:r>
        <w:t>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 – CALAME, 2ème éd., 2019, art. 389 n. 5). La Cour d'appel peut également administrer, d'office ou sur requête, les preuves complémentaires nécessaires au traitement du recours (art. 389 al. 3 CPP). En l'espèce, il n'y a pas matière à aller au-delà de l'administration des preuves faite pendant la procédure préliminaire et la procédure de première instance. Au demeurant, l'administration de nouvelles preuves n'est pas requise. 2.1. L’appelant soutient que, contrairement à ce qu’a retenu le Juge de police, ses déclarations sont crédibles et cohérentes. Il allègue que le fait que D.________ roulait à vive allure alors que le camion roulait à 45 km/h n’implique pas forcément qu’il y avait une distance importante entre les deux véhicules dès lors que le dépassement a eu lieu à la sortie du village de Neyruz, soit à la hauteur du panneau indiquant la fin de la limitation à 50 km/h et qu’il est très probable que Tribunal cantonal TC Page 4 de 8 D.________ ait débuté son accélération au moment où A.________ l’a dépassée, ne laissant ainsi pas suffisamment d’espace à A.________ pour se rabattre entre les deux véhicules sans entrer en collision avec la voiture arrivant en sens inverse. L’appelant soutient par ailleurs que le Juge de police ne prend pas en compte le fait que le camion a également pu accélérer au moment de la fin de la limitation de vitesse. En outre, l’appelant soutient qu’il n’a eu que très peu de temps pour évaluer la situation, estimer la distance entre les véhicules puis finir par conclure qu’en raison de l’inertie et de la distance qu’il percevait entre les deux véhicules, il était plus prudent de poursuivre son dépassement. Concernant la vitesse du véhicule arrivant en sens inverse, l’appelant soutient que l’on ne saurait remettre en doute l’entier de ses déclarations en raison d’une prétendue imprécision quant à la distance qui le séparait de ce véhicule. On ne saurait attendre de lui qu’il soit à même d’estimer de façon précise la distance entre son véhicule et un véhicule tiers à un instant donné. Il considère qu’il convient de retenir qu’il se trouvait encore à 150 mètres du véhicule qui arrivait en face après s’être rabattu. Il allègue encore que le fait que D.________ ait effectué des appels de phares et klaxonné ne préjuge en rien du caractère dangereux de la manœuvre. De plus, il souligne que plusieurs éléments permettent de douter de la crédibilité des déclarations de D.________. Elle n’a pas pu déterminer à quel endroit exactement était survenu l’incident. Elle a cependant réussi à estimer la vitesse des différents véhicules et se souvient en détail du déroulement de la manœuvre. Elle a également réussi, très peu de temps après l’incident et alors qu’elle prétend s’être trouvée choquée, à avoir le réflexe de mémoriser le numéro de place de l’appelant. Elle est également parvenue à estimer son temps de trajet entre le moment de l’incident et son arrivée au giratoire de Cottens, alors même qu’elle n’a pas été capable de déterminer où avait eu lieu la manœuvre litigieuse. 2.2. La présomption d'innocence, garantie par les art. 14 par. 2 Pacte ONU, 6 § 2 CEDH, 32 al.</w:t>
      </w:r>
    </w:p>
    <w:p>
      <w:r>
        <w:rPr>
          <w:b/>
        </w:rPr>
        <w:t>E. 3</w:t>
      </w:r>
    </w:p>
    <w:p>
      <w:r>
        <w:t>L’appelant ne conteste pas la qualification juridique des faits opérée par le premier juge en violation grave des règles de la circulation routière (cf. jugement attaqué, p. 13 à 15) de sorte que la Cour n’a pas à réexaminer cette question. Au demeurant, cette qualification ne prête pas le flanc à la critique et la Cour se réfère à la motivation du premier juge sur cette question (art. 82 al. 4 CPP).</w:t>
      </w:r>
    </w:p>
    <w:p>
      <w:r>
        <w:rPr>
          <w:b/>
        </w:rPr>
        <w:t>E. 4</w:t>
      </w:r>
    </w:p>
    <w:p>
      <w:r>
        <w:t>La culpabilité de l’appelant est confirmée en appel. L’appelant n'allègue cependant pas contester la quotité de la peine à titre indépendant et ne motive aucunement ce grief. La Cour n’est ainsi pas tenue de revoir la peine prononcée par le premier juge à titre indépendant, à défaut de conclusion subsidiaire (cf. arrêt TF 6B_419/2014 du 9 janvier 2015 consid. 2.3). Au demeurant, il ne ressort pas du dossier que la fixation de la peine, telle qu’opérée par le Juge de police, apparaîtrait comme illégale ou inéquitable (art. 404 al. 2 CPP). Il s'ensuit le rejet de l'appel et la confirmation du jugement attaqué.</w:t>
      </w:r>
    </w:p>
    <w:p>
      <w:r>
        <w:rPr>
          <w:b/>
        </w:rPr>
        <w:t>E. 5.1</w:t>
      </w:r>
    </w:p>
    <w:p>
      <w:r>
        <w:t>Selon l'art. 426 al. 1 CPP, le prévenu supporte les frais de procédure de première instance s'il est condamné. Quant aux frais d'appel, ils sont à la charge des parties dans la mesure où elles ont obtenu gain de cause ou succombé (art. 428 al. 1 CPP). Si l'autorité de recours rend elle- même une nouvelle décision, elle se prononce également sur les frais fixés par l'autorité inférieure (art. 428 al. 3 CPP). Tribunal cantonal TC Page 7 de 8</w:t>
      </w:r>
    </w:p>
    <w:p>
      <w:r>
        <w:rPr>
          <w:b/>
        </w:rPr>
        <w:t>E. 5.2</w:t>
      </w:r>
    </w:p>
    <w:p>
      <w:r>
        <w:t>Vu le sort de l'appel, les frais judiciaires de la procédure d'appel doivent être mis à la charge de l'appelant. Ces frais sont fixés à CHF 1'100.- (émolument: CHF 1'000.-; débours fixés forfaitairement: CHF 100.-). L'indemnité de partie requise au sens de l'art. 429 CPP doit être rejetée. La Cour ayant rejeté l'appel et confirmé le jugement de première instance, la répartition des frais judiciaires de première instance n'a pas à être modifiée et aucune indemnité au sens de l’art. 429 CPP ne doit être allouée au prévenu pour la procédure de première instance. (dispositif en page suivante) Tribunal cantonal TC Page 8 de 8 la Cour arrête : I. L’appel est rejeté. Partant, le jugement du Juge de police de l’arrondissement de la Sarine du 14 juillet 2020 est confirmé dans la teneur suivante : Le Juge de police 1. reconnaît A.________ coupable de violation grave des règles de la circulation routière et, en application des art. 26 al. 1, 34 al. 1, 35 al. 2 et 90 al. 2 LCR ; 34, 42, 44, 47 CP ; 2. le condamne à une peine pécuniaire de 30 jours-amende, avec sursis pendant 3 ans, le montant du jour-amende étant fixé à CHF 50.- ; 3. rejette la demande d’indemnité au sens de l’art. 429 CPP formulée le 19 juin 2020 par A.________ ; 4 condamne A.________, en application des art. 421, 422 et 426 CPP, au paiement des frais de procédure : (émoluments : CHF 1'300.- ; débours en l'état, sous réserve d'éventuelles opérations ou factures complémentaires : CHF 110.-). II. Les frais de procédure d'appel, par CHF 1’100.- (émolument: CHF 1'000.-; débours: CHF 100.-), sont mis à la charge de A.________. III. Il n'est pas alloué d'indemnité au sens de l’art. 429 CPP à A.________ pour la procédure d'appel.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29 mars 2021/say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