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108 vom 27. Oktober 2020</w:t>
      </w:r>
    </w:p>
    <w:p>
      <w:r>
        <w:t>FR Kantonsgericht, 2020-10-27, FR</w:t>
      </w:r>
    </w:p>
    <w:p>
      <w:r>
        <w:rPr>
          <w:b/>
        </w:rPr>
        <w:t xml:space="preserve">Quelle: </w:t>
      </w:r>
      <w:r>
        <w:t>https://mcp.opencaselaw.ch/entscheid/fr_gerichte_501_2020_108</w:t>
      </w:r>
    </w:p>
    <w:p>
      <w:r>
        <w:t>FR: FR_GERICHTE 501 2020 108 du 27 octobre 2020</w:t>
      </w:r>
    </w:p>
    <w:p>
      <w:r>
        <w:t>IT: FR_GERICHTE 501 2020 108 del 27 ottobre 2020</w:t>
      </w:r>
    </w:p>
    <w:p>
      <w:pPr>
        <w:pStyle w:val="Heading2"/>
      </w:pPr>
      <w:r>
        <w:t>Regeste</w:t>
      </w:r>
    </w:p>
    <w:p>
      <w:r>
        <w:t>Arrêt de la Cour d'appel pénal du Tribunal cantonal | Strafrecht</w:t>
      </w:r>
    </w:p>
    <w:p>
      <w:pPr>
        <w:pStyle w:val="Heading2"/>
      </w:pPr>
      <w:r>
        <w:t>Erwägungen</w:t>
      </w:r>
    </w:p>
    <w:p>
      <w:r>
        <w:rPr>
          <w:b/>
        </w:rPr>
        <w:t>E. 13</w:t>
      </w:r>
    </w:p>
    <w:p>
      <w:r>
        <w:t>juillet 2020 ne lui avait pas été transmise dans la mesure où elle ne pouvait concerner que des procédures d'instruction ouvertes devant le Ministère public alors que lui-même était dessaisi de la cause A.________ suite à l'acte d'accusation du 27 avril 2020; que le Procureur a précisé que même si la demande de consultation lui avait été transmise, il n'aurait pas pu penser que A.________ n'avait pas informé son mandataire des débats et du jugement en lui confiant la défense de ses intérêts le 13 juillet 2020; que dans leurs déterminations du 31 août 2020, C.________ et D.________, par le biais de Me Guillaume Berset, ont soutenu que A.________ était en mesure de comprendre qu'un jugement allait être et/ou avait été rendu et qu'il était de sa responsabilité d'avertir son conseil, ce qu'il n'avait pas jugé utile de faire, de sorte que ce manquement pouvait lui être opposé; qu'aux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que la restitution de délai suppose ainsi que la partie ou son mandataire a été empêché d'agir sans faute dans le délai fixé (ATF 143 I 284 consid. 1.3); que la restitution de délai n'entre pas en ligne de compte lorsque la partie ou son mandataire a renoncé à agir, que ce soit à la suite d'un choix délibéré, d'une erreur ou du conseil - peut-être erroné - d'un tiers (ATF 143 I 284 consid. 1.3); que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TF 6B_401/2019 du 1er juillet 2019 consid. 2.3 et les références); qu'en l'espèce, cette condition n'est manifestement pas remplie; qu'en effet, A.________ a été parfaitement en mesure de saisir les enjeux de l'audience du mercredi 8 juillet 2020 et de consulter Me Azizi le lundi suivant, 13 juillet 2020; que dans ces circonstances, l'on est en droit d'attendre du prévenu qu'il prévienne son conseil de l'audience du jugement qui a eu lieu cinq jours auparavant; que dans le même ordre d'idée, il appartenait à A.________ d'informer Me Azizi de la notification du jugement du 8 juillet 2020 dès sa réception le 21 juillet 2020, soit une semaine exactement après avoir mandaté un avocat; qu'en omettant de communiquer des informations élémentaires et essentielles à son défenseur, A.________ a adopté un comportement fautif qui a empêché Me Azizi de respecter les délais d'appel; que Me Azizi soutient que A.________ n'aurait pas été en mesure de sauvegarder ses droits en raison de ses troubles psychiatriques, se référant à un rapport du RFSM du 21 juin 2018 (secteur de la psychiatrie et de pédopsychiatrie pour enfant et adolescente, DO/ 10029); qu'à cet égard, sans nier le diagnostic posé à l'époque, la Cour relève que A.________ avait pu quitter le Cendre de soins hospitaliers de Marsens après une nuit, dès lors qu'il avait pris son traitement pharmacologique;</w:t>
      </w:r>
    </w:p>
    <w:p>
      <w:r>
        <w:t>Tribunal cantonal TC Page 4 de 5 qu'en outre, son comportement lors de l'audience du 8 juillet 2020 montre que le prévenu était cohérent et qu'il avait compris les enjeux du procès, notamment en se positionnant de manière différenciée sur les conclusions civiles des parties plaignantes (DO/ 10211-10212); qu'au vu de ces éléments, rien ne permet de penser que les troubles de A.________ eussent été tels que le prévenu n'ait pas été en mesure d'informer correctement son mandataire de la tenue du procès du 8 juillet 2020 ou de la réception du jugement motivé; qu'à cet égard, il n'était pas attendu du prévenu qu'il explique en détail à son avocat les tenants et aboutissants de la procédure, mais simplement qu'il lui communique qu'il venait de comparaître; qu'au surplus, il est relevé que le prévenu n'a pas déposé de demande tendant à bénéficier d'une défense d'office ni au cours de l'instruction devant le Ministère public, ni devant le Juge de police; qu'enfin, A.________ ne saurait se réfugier derrière un soi-disant manque d'informations de la part du Ministère public pour palier ses propres omissions; que le Ministère public a informé correctement Me Azizi des dossiers d'instruction encore pendants devant lui et il n'avait pas à anticiper les défaillances du prévenu en transmettant aussi les affaires dont il était dessaisi; qu'en conséquence, il appartenait à A.________ de transmettre à son avocat les renseignements propres à assurer sa défense, ce que le prévenu n'a pas été empêché d'accomplir sans faute de sa part; que le non-respect du délai pour déposer une déclaration d'appel étant imputable à A.________, la demande de restitution de délai du 11 août 2020 est rejetée; que la demande d'effet suspensif devient sans objet; qu'au vu de ce qui précède, il n'est pas entré en matière sur la déclaration d'appel du 11 août 2020, celle-ci ayant été déposée tardivement (art. 403 al. 1 let. a CPP); que les frais judiciaires d'appel, par CHF 300.- (émolument: CHF 250.-; débours: CHF 50.-), sont mis à la charge de A.________ (cf. art. 422, 424 al. 1 et 428 al. 1 CPP, 124 LJ et 33ss RJ); que s'agissant de la requête de défense d'office (défense facultative, art. 132 al. 1 let. b CPP), elle sera admise pour la procédure d'appel en raison des spécificités liées à la demande de restitution de délai qu'un jeune adulte ne maîtrisant que partiellement le français n'aurait pas été en mesure d'accomplir seul; qu'aussi, il est octroyé à Me Mathieu Azizi, ex aequo et bono, des honoraires pour CHF 720.- (4 heures), des débours par CHF 36.- (5% des honoraires) et la TVA (7.7%) par CHF 58.-, pour une indemnité totale de CHF 834.-; qu'en application de l'art. 135 al. 4 CPP, A.________ sera tenu de rembourser ce montant à l'Etat lorsque sa situation financière le permettra; que les parties plaignantes ayant résisté avec succès aux démarches d'appel du prévenu, elles peuvent prétendre à l'octroi d'une indemnité au sens de l'art. 433 al. 1 CPP; qu'il est fait droit à la liste de frais produite par Me Berset, de sorte que A.________ est astreint à verser solidairement à C.________ et D.________, créanciers solidaires, une indemnité de CHF 447.65 (dont TVA par CHF 21.30) pour les dépenses obligatoires occasionnées par la procédure;</w:t>
      </w:r>
    </w:p>
    <w:p>
      <w:r>
        <w:t>Tribunal cantonal TC Page 5 de 5 la Cour arrête: I. La demande de restitution de délai est rejetée. II. La demande d'effet suspensif est sans objet. III. Il n'est pas entré en matière sur la déclaration d'appel du 11 août 2020. IV. Les frais judiciaires d'appel, par CHF 300.- (émolument: CHF 250.-; débours: 50.-), sont mis à la charge de A.________. V. La requête de défense d'office (facultative) pour la procédure d'appel est admise. Me Mathieu Azizi est nommé en qualité de défenseur d'office de A.________. VI. Pour l'appel, l'indemnité de défenseur d'office de Me Mathieu Azizi est arrêtée à CHF 834.-, TVA par CHF 58.- comprise. VII. Pour l'appel, A.________ est astreint à verser à C.________ et D.________, créanciers solidaires, une indemnité au sens de l'art. 433 CPP de CHF 447.65, TVA par CHF 21.30 comprise.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27 octobre 2020/cst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