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102 vom 25. März 2021</w:t>
      </w:r>
    </w:p>
    <w:p>
      <w:r>
        <w:t>FR Kantonsgericht, 2021-03-25, FR</w:t>
      </w:r>
    </w:p>
    <w:p>
      <w:r>
        <w:rPr>
          <w:b/>
        </w:rPr>
        <w:t xml:space="preserve">Quelle: </w:t>
      </w:r>
      <w:r>
        <w:t>https://mcp.opencaselaw.ch/entscheid/fr_gerichte_501_2020_102</w:t>
      </w:r>
    </w:p>
    <w:p>
      <w:r>
        <w:t>FR: FR_GERICHTE 501 2020 102 du 25 mars 2021</w:t>
      </w:r>
    </w:p>
    <w:p>
      <w:r>
        <w:t>IT: FR_GERICHTE 501 2020 102 del 25 marzo 2021</w:t>
      </w:r>
    </w:p>
    <w:p>
      <w:pPr>
        <w:pStyle w:val="Heading2"/>
      </w:pPr>
      <w:r>
        <w:t>Regeste</w:t>
      </w:r>
    </w:p>
    <w:p>
      <w:r>
        <w:t>Arrêt de la Cour d'appel pénal du Tribunal cantonal | Strafrecht</w:t>
      </w:r>
    </w:p>
    <w:p>
      <w:pPr>
        <w:pStyle w:val="Heading2"/>
      </w:pPr>
      <w:r>
        <w:t>Erwägungen</w:t>
      </w:r>
    </w:p>
    <w:p>
      <w:r>
        <w:rPr>
          <w:b/>
        </w:rPr>
        <w:t>E. 40</w:t>
      </w:r>
    </w:p>
    <w:p>
      <w:r>
        <w:t>mois, ainsi qu’au paiement d’une amende de CHF 1'000.-. Le prévenu a en revanche été acquitté du chef de prévention de blanchiment d’argent. Les premiers juges ont en outre renoncé à prononcer la révocation du sursis octroyé au prévenu le 17 janvier 2019 par le Ministère public du canton de Genève. Par ce même jugement, une expulsion judiciaire obligatoire du territoire helvétique pour une durée de 10 ans a également été prononcée à l’encontre du prévenu. Ce jugement se prononce par ailleurs, outre la question des frais – lesquels ont intégralement été mis à la charge du prévenu –, sur le sort des stupéfiants, des numéraires et autres biens et objets séquestrés lors de la perquisition du 4 février 2019, respectivement sur le sort des conclusions civiles formulées par la partie plaignante, lesquelles ont été partiellement admises. C. En bref, le Tribunal pénal a retenu qu’entre le mois de juillet 2018 et le 4 février 2019, A.________ s’est livré à un trafic de stupéfiants (vente et remise gratuite) portant sur une quantité minimale de 245.9 grammes d’héroïne, respectivement sur une quantité minimale de cocaïne de 19 grammes et sur une quantité d’environ 10 grammes de marijuana. Compte tenu d’un taux de pureté de 24% pour l’héroïne (taux de pureté moyen pour l’année 2018) et d’un taux de pureté de 62% pour la cocaïne (taux de pureté moyen pour l’année 2018), le trafic de A.________ a porté sur une quantité totale minimale d’environ 61.22 grammes d’héroïne pure [(245.9 g + 9.2 g) X 24%], respectivement sur une quantité minimale d’environ 11,78 grammes de cocaïne pure (19 g X 62%) et sur une quantité de 10 grammes de marijuana (cf. jugement entrepris, ch. III., p. 7 ss, 12). Ces faits sont contestés en appel. Pendant cette même période – soit entre le mois de juillet 2018 et le 4 février 2019 –, A.________ a consommé une quantité indéterminée d’héroïne, de cocaïne et de cannabis (ibidem). Ces faits ne sont pas contestés en appel. Entre le 12 octobre 2018 et le 2 janvier 2019, A.________ a voyagé en transports publics, à 9 reprises, sans titre de transport valable (cf. jugement entrepris, ch. II., p. 6 s.). Ces faits ne sont pas contestés en appel. Entre le mois de septembre et octobre 2018, A.________ a acquis, sans droit, un pistolet SIG 220 (cf. jugement entrepris, ch. IV., p. 13). Ces faits sont contestés en appel.</w:t>
      </w:r>
    </w:p>
    <w:p>
      <w:r>
        <w:t>Tribunal cantonal TC Page 3 de 17 D. Le 25 juillet 2020, A.________ a déposé une déclaration d’appel (motivée) contre le jugement du 10 juin 2020. Il conclut à l’admission de son appel, respectivement à la réformation du jugement entrepris, en ce sens qu’il soit acquitté des chefs de prévention de délit et de crime à la loi fédérale sur les stupéfiants. Il conteste en outre s’être rendu coupable de délit à la loi fédérale sur les armes. A titre subsidiaire, il invoque sa négligence en ce qui concerne cette dernière infraction et conclut, en conséquence, à ce qu’il soit condamné à une simple contravention par négligence à la loi fédérale sur les armes, tout en demandant à être exempté de toute peine, le cas échéant, dès lors qu’il s’agirait d’un cas de peu de gravité. D’une manière générale, il demande une peine compatible avec le sursis complet. Ce faisant, il conteste la quotité de la peine qui lui a été infligée en première instance non seulement comme conséquence des acquittements demandés, mais aussi à titre indépendant, comme il l’a encore confirmé en séance. En revanche, son expulsion est contestée uniquement comme conséquence des acquittements demandés (cf. PV, p. 3). Enfin, il conclut à ce que les frais de la procédure de première instance et d’appel soient laissés à la charge de l’Etat. Pour sa part, le Ministère public a fait savoir à la Cour qu’il ne présentait ni demande de non- entrée en matière ni appel joint par courrier du 4 août 2020. E. La Cour a siégé le 25 mars 2021. Ont comparu A.________, assisté de Me Marino Montini, d’une part, et le Procureur au nom du Ministère public, d’autre part. Me Marino Montini a confirmé les conclusions prises par l’appelant à l’appui de sa déclaration d’appel du 25 juillet 2020. Quant au Ministère public, il a conclu au rejet de l’appel du prévenu, avec suite de frais. A.________ a été entendu, puis la procédure probatoire a été close. Me Marino Montini et le Procureur ont plaidé. Me Marino Montini a renoncé à répliquer. Enfin, A.________ a eu la parole pour son dernier mot, prérogative dont il n’a pas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l’acquittement du prévenu du chef de prévention de blanchiment d’argent, respectivement sa condamnation pour contraventions à loi fédérale sur les stupéfiants et à la loi fédérale sur le transport de voyageurs, qui ne sont contestés ni par l’appelant, ni par le Ministère public, sont entrés en force (art. 399 al. 4 et 402 a contrario CPP). Il en va de même des chiffres 3.ii. (contravention à la LStup), 4 (non-révocation du sursis), 5 (requête de mise en liberté),</w:t>
      </w:r>
    </w:p>
    <w:p>
      <w:r>
        <w:t>Tribunal cantonal TC Page 4 de 17 6 (exécution anticipée de peine), 8 (conclusions civiles), 9 (confiscation du pistolet séquestré), 10 (confiscation et destruction des stupéfiants et de différents objets séquestrés), 11 (confiscation des numéraires séquestrés) et 13.i. et 13.ii. (fixation des indemnités des défenseurs d’office) du dispositif du jugement entrepris.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 2. Dans un premier moyen (cf. déclaration d’appel, ch. IV., p. 4 ss), l’appelant conteste l’ampleur et la finalité du trafic de stupéfiants qu’on lui reproche d’avoir mis en place. En bref, le prévenu relève qu’il était lui-même toxicodépendant et que les revenus de son activité avaient essentiellement servi à financer sa propre consommation de stupéfiants (idem, ch. 1, p. 4). A cet égard, il soutient pour l’essentiel qu’il ressort du dossier de la cause, en particulier des déclarations des autres protagonistes de l’affaire, qu’il s’est largement limité à partager sa consommation avec d’autres toxicomanes (idem, ch. 2., p. 4 s.), le plus souvent gratuitement ou alors en échange d’un gîte pour la nuit (idem, ch. 3., p. 5 s.). Il conteste dès lors avoir agi principalement par appât du gain facile et rapide – contrairement à ce qui a été faussement retenu par les premiers juges –, tout comme il conteste avoir mis en danger la santé d’un grand nombre de personnes (idem, ch. 4. P. 7 s.). Dans ce contexte, il soutient pour le surplus avoir financé l’essentiel de sa consommation avec ses propres économies et souligne qu’aucune somme d’argent importante n’a été retrouvée sur sa personne ou dans l’appartement qu’il occupait à B.________ – et qui a été perquisitionné le 4 février 2019, soit le jour de son arrestation –, ce qui n'est guère compatible avec la thèse retenue par les premiers juges selon laquelle il aurait prétendument mis en place un important et lucratif trafic de stupéfiants (ibidem). D’une manière générale, il soutient que les charges retenues contre lui ne reposent sur aucune déclaration fiable figurant au dossier dans la mesure où ses accusateurs ont largement varié dans leurs déclarations respectives et se sont ainsi montrés contradictoires, de sorte qu’il y a lieu de douter de leur crédibilité (cf. déclaration d’appel, ch. IV., ch. 6., p. 9 s.). En somme, il résulte de sa motivation qu’il s’en prend essentiellement à l’établissement des faits, dès lors qu’il invoque une constatation inexacte des faits et une violation de la présomption d’innocence.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n. 19).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w:t>
      </w:r>
    </w:p>
    <w:p>
      <w:r>
        <w:t>Tribunal cantonal TC Page 5 de 17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S’agissant du trafic de stupéfiants qu’on lui reproche d’avoir mis en place – que le prévenu conteste en appel –, procédant à une appréciation globale des éléments au dossier, les premiers juges ont écarté la version des faits avancée par le prévenu, au motif qu’elle n’était pas crédible, notamment parce qu’elle entrait en totale contradiction avec les déclarations des autres protagonistes de l’affaire. Ces derniers, eux-mêmes consommateurs de drogue et eux-mêmes prévenus dans le cadre d’affaires pénales parallèles dirigées contre eux, s'ils pouvaient avoir un intérêt à minimiser leur propre consommation de stupéfiants, n'en auraient eu aucun à charger l’appelant outre mesure, sauf à s’accabler eux-mêmes par la même occasion (cf. jugement entrepris, consid. 2.ii.a), p. 12 notamment). 2.4. La Cour partage ces différentes considérations et y renvoie expressément (art. 82 al. 4 CPP) pour considérer et retenir, à son tour, que la crédibilité de l’appelant est nulle. C’est le lieu de relever que lors de son interpellation, soit le 4 février 2019, la police a retrouvé un sachet contenant 12 pacsons d’héroïne sur sa personne. Le même jour, lors de la perquisition du studio qu’il occupait conjointement avec E.________, à la rue de F.________, à B.________, la police a notamment découvert, outre un pistolet SIG 220 et de l’argent liquide, un minigrip vide,</w:t>
      </w:r>
    </w:p>
    <w:p>
      <w:r>
        <w:t>Tribunal cantonal TC Page 6 de 17 33.2 grammes d’héroïne, 99 grammes de bicarbonate de soude – qui peut notamment servir à couper la cocaïne –, une balance électronique, 7 supports de carte SIM et pas moins de quatre téléphones portables, dont la présence laissait d’emblée subodorer, avec une forte présomption, que les occupants du studio en question s’adonnaient au trafic de stupéfiants. L’appelant ne le conteste pas véritablement puisqu’il concède qu’il s’est adonné au trafic de stupéfiants afin, explique-t-il, de financer sa propre consommation de stupéfiants. D’ailleurs, bien que le prévenu ait déclaré à la police qu’il n’avait aucun lien avec l’héroïne et l’arme découvertes dans l’appartement sus-évoqué, il a néanmoins admis que la moitié de l’héroïne retrouvée sur lui au moment de son interpellation était destinée à sa propre consommation, tout en restant évasif sur le sort de l’autre moitié (DO/2'114, lignes 67 ss). Du reste, il n’a fourni aucune explication, ayant un minimum de consistance, concernant les stupéfiants, les numéraires et les autres objets retrouvés lors de la perquisition du 4 février 2019. S’agissant des 33.2 grammes d’héroïne tout d’abord, A.________ a prétendu qu’ils appartenaient à E.________ (DO/2'114, lignes 45 s.), alors que, pour sa part, ce dernier a déclaré qu’il ignorait tout de cette drogue (DO/2'208, lignes 157 ss). Lors de la séance de ce jour, le prévenu a finalement admis que l’héroïne en question lui appartenait ; il a toutefois prétendu que la quantité retrouvée chez lui par la police – et retenue contre lui par les premiers juges – a été largement exagérée, concédant qu’il détenait, tout au plus, entre 5 et 10 grammes d’héroïne (cf. PV, p. 4 s.). S’agissant des numéraires et du bicarbonate, l’appelant a affirmé qu’ils appartenaient également à son colocataire (DO/2'114), ce que celui-ci a, en substance, confirmé (DO/2'208 s.). Enfin, s’agissant de l’arme à feu, le prévenu a prétendu qu’il ignorait à qui elle appartenait, tout en précisant qu’il n’était pas exclu que ses empreintes soient retrouvées sur cette arme, dès lors qu’il l’avait prise dans les mains pour assouvir sa curiosité (DO/2'114). Face à la perplexité des gendarmes, il a finalement déclaré que cette arme appartenait vraisemblablement à E.________ (DO/2'114, lignes 52 ss), ce que celui-ci a vivement contesté, tout en déclarant qu’il ignorait si elle appartenait au prévenu (DO/2'208, lignes 177 ss). Par la suite, il a tantôt expliqué – devant le Ministère public – que le pistolet lui avait été remis à Payerne par C.________ vers les mois de septembre-octobre 2018 (DO/3'010, lignes 58 ss), tantôt prétendu – lors des débats de première instance – qu’il détenait cette arme par hasard ; son colocataire, qui avait été arrêté, l’aurait en effet prétendument oubliée dans leur ancien appartement (DO/10’087). A.________ a également expliqué, avec le même aplomb, qu’il n’est pas exclu que ses empreintes soient retrouvées un peu partout dans le studio qu’il partageait avec E.________ en raison de sa promiscuité. Il a en outre expliqué qu’il lui arrivait de se laver les dents avec du bicarbonate de soude (ibidem). Confronté à ses accusateurs devant le Ministère public, le prévenu a tantôt nié en bloc les accusations portées contre lui – admettant dans un premier temps et du bout des lèvres seulement, être un consommateur occasionnel, alors que les preuves matérielles contre lui étaient pourtant accablantes –, tantôt prétendu avoir uniquement servi d’intermédiaire entre E.________ – qui, seul, s’adonnait au trafic de stupéfiants – et les différents consommateurs qui se fournissaient auprès de ce dernier dans le studio qu’ils occupaient conjointement. Au fil de l’instruction et face à l’ampleur des accusations portées contre lui – qui laissaient subodorer un trafic beaucoup plus important que ne laissait entendre le prévenu –, A.________ a adapté son discours. Il a alors reconnu qu’il n’était pas un simple consommateur récréationnel, comme il l’avait initialement prétendu, mais au contraire un consommateur régulier, se présentant néanmoins comme un toxicomane qui se serait limité à s’adonner sporadiquement au trafic de stupéfiants pour financer sa propre consommation, posture qu’il tente d’adopter aujourd’hui encore en appel. Outre le fait que ces différentes déclarations et les versions des faits successives qui en résultent n’ont aucune</w:t>
      </w:r>
    </w:p>
    <w:p>
      <w:r>
        <w:t>Tribunal cantonal TC Page 7 de 17 consistance, l’appelant n’explique pas pour quels motifs – et la Cour n’en voit d’ailleurs aucun – des individus, dont certains d’entre eux seraient des amis ou, à tout le moins, des connaissances du prévenu à suivre ses propres déclarations puisqu’il partageait prétendument gratuitement sa consommation avec eux, porteraient des accusations aussi graves contre lui, si elles n’étaient le reflet de la vérité. Il faut bien plutôt admettre qu’aucune version des faits, autre que celle offerte par ses différents contradicteurs, ne trouve d’ancrage au dossier. Par surabondance de motifs, force est de constater que les déclarations des autres protagonistes de l’affaire concordent sur tous les points essentiels, dès lors qu’ils ont fourni des détails accablants pour le prévenu, tout particulièrement au niveau spatio-temporel, eu égard au trafic de stupéfiants qu’on lui reproche d’avoir mis en place. Du reste, même à admettre, avec le prévenu, qu’il lui est arrivé de partager sa consommation avec d’autres consommateurs, tout au plus son comportement s’inscrit dans une logique commerciale, dès lors que les quantités de stupéfiants partagées prétendument « gratuitement » étaient sensiblement inférieures à celles achetées par les consommateurs qui s’adressaient à lui. Il ne saurait donc être retenu, comme le voudrait en définitive l’appelant, qu’il se serait limité à vendre, et ce, de manière sporadique selon ses explications, une quantité dérisoire de stupéfiants pour financer sa propre consommation, consommation qu’il tente du reste, pour des raisons procédurales évidentes, d’amplifier exagérément. Il ne saurait être admis non plus qu’il se serait borné à partager gratuitement sa consommation avec d’autres toxicomanes, étant précisé à cet égard que le fait de fournir des stupéfiants à un tiers en échange d’un gîte pour la nuit, par exemple, n’est de toute manière pas une opération désintéressée et/ou économiquement nulle, contrairement à ce que soutient l’appelant. Au surplus, s’agissant des quantités de stupéfiants retenues contre lui – que l’appelant conteste de manière toute générale, en faisant valoir pour l’essentiel que les accusations portées contre lui n’ont aucun crédit –, il suffit de rappeler que, lorsque des fourchettes de quantité de drogues ou de prix ont été avancées par ses accusateurs, seules les valeurs les plus basses – et donc les plus favorables au prévenu – ont été retenues par les premiers juges (cf. jugement entrepris, consid. 2. b), p. 12), ce qui, quoi qu’en dise le principal intéressé, ne prête pas le flanc à la critique. De même, seules les déclarations à charge confirmées lors des audiences de confrontation ont été prises en considération. Enfin, s’agissant du taux de pureté de la drogue, il suffit de relever que, s’il est essentiel pour déterminer si on se trouve en présence d’un cas grave ou non au sens de l’art. 19 al. 2 LStup, il n’en demeure pas moins qu’il perd de son importance à mesure qu’on s’éloigne de la limite des 18 grammes purs fixée par la jurisprudence, comme on y reviendra plus avant (cf. infra consid. 4.). 2.5.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w:t>
      </w:r>
    </w:p>
    <w:p>
      <w:r>
        <w:t>Tribunal cantonal TC Page 8 de 17 Dans le cas d’espèce, contrairement à ce que prétend l’appelant par la voix de son défenseur d’office, le Tribunal pénal a exposé, de manière circonstanciée et convaincante, point par point, argument par argument, comme on vient de le voir (cf. jugement entrepris, ch. III., p. 7 ss), pourquoi il a écarté la version des faits présentée par le prévenu – qui est fortement sujette à caution – au profit de celle avancée par les autres protagonistes de l’affaire. Il suffit d’y renvoyer (art. 82 al. 4 CPP), tout en soulignant que ces derniers n’avaient aucun intérêt à charger le prévenu plus que de raison, sauf à se compromettre eux-mêmes par la même occasion – ce qui explique d’ailleurs pourquoi certains d’entre eux sont revenus sur leurs premières déclarations, rétractations dont il y a lieu, à l’instar du Tribunal pénal, de faire fi (cf. jugement attaqué, consid. 2.ii.a), p. 12) –, au contraire du prévenu qui, pour sa part, avait tout intérêt à nier toute implication dans le trafic de stupéfiants qu’on lui reproche d’avoir mis en place, puis à adapter sa ligne de défense au gré de l’avancement de l’instruction et des accusations portées contre lui. 2.6. Compte tenu de l’ensemble de ce qui précède et tout particulièrement de l’absence totale de crédibilité du prévenu et, corollairement, de ses dénégations dépourvues de consistance, la Cour retient qu’entre le mois de juillet 2018 et le 4 février 2019, A.________ s’est livré à un trafic de stupéfiants (vente et remise gratuite) portant sur une quantité minimale de 245.9 grammes d’héroïne, respectivement sur une quantité minimale de cocaïne de 19 grammes et sur une quantité d’environ 10 grammes de marijuana. Compte tenu d’un taux de pureté de 24% pour l’héroïne (taux de pureté moyen pour l’année 2018) et d’un taux de pureté de 62% pour la cocaïne (taux de pureté moyen pour l’année 2018), le trafic de A.________ a porté sur une quantité totale minimale d’environ 61.22 grammes d’héroïne pure [(245.9 g + 9.2 g) X 24%], respectivement sur une quantité minimale d’environ 11,78 grammes de cocaïne pure (19 g X 62%) et sur une quantité de 10 grammes de marijuana. Il s’ensuit le rejet de l’appel sous cet angle. 3. L’appelant soutient également que rien au dossier ne permet d’établir que l’arme retrouvée lors de la perquisition du 4 février 2019 lui appartient et/ou qu’il en a fait usage, de sorte qu’il doit être acquitté, à tout le moins au bénéfice du doute, du chef de prévention de délit à la loi fédérale sur les armes (cf. déclaration d’appel, ch. IV., consid. 6. et 7., p. 9 s.). Invoquant une violation de la présomption d’innocence, il soutient, une nouvelle fois, que les charges retenues contre lui ne reposent sur aucune déclaration fiable figurant au dossier dans la mesure où ses accusateurs ont largement varié dans leurs déclarations respectives et se sont ainsi montrés contradictoires, de sorte qu’il y a lieu de douter de leur crédibilité. Dans tous les cas et à supposer que son argumentation soit rejetée sous l’angle de l’établissement des faits, l’appelant invoque sa négligence au sens de l’art. 33 al. 2 LArm (ibidem). 3.1. Aux termes de l'art. 33 al. 1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w:t>
      </w:r>
    </w:p>
    <w:p>
      <w:r>
        <w:t>Tribunal cantonal TC Page 9 de 17 3.2. En l’espèce, les dénégations du prévenu n’ont, ici encore, aucune consistance et il suffit de renvoyer à ce qui a été dit plus haut concernant sa crédibilité (cf. supra consid. 2.). C’est le lieu de rappeler, s’agissant de l’arme à feu litigieuse, que le prévenu a initialement prétendu qu’il ignorait à qui elle appartenait, tout en précisant qu’il n’était pas exclu que ses empreintes soient retrouvées sur cette arme, dès lors qu’il l’avait prise dans les mains pour assouvir sa curiosité (DO/2'114). Face à la perplexité des gendarmes, il a finalement déclaré que cette arme appartenait vraisemblablement à E.________ (DO/2'114, lignes 52 ss), ce que celui-ci a vivement contesté, tout en déclarant qu’il ignorait si elle appartient au prévenu (DO/2'208, lignes 177 ss). Par la suite, A.________ a tantôt expliqué – devant le Ministère public – que le pistolet lui avait été remis à Payerne par C.________ vers les mois de septembre-octobre 2018 (DO/3'010, lignes 58 ss), tantôt prétendu – lors des débats de première instance – qu’il détenait cette arme par hasard ; son colocataire, qui avait été arrêté, l’aurait en effet prétendument oubliée dans leur ancien appartement (DO/10’087). En somme, il explique s’être montré négligent en acceptant cette arme. Cette argumentation ne saurait être suivie et l’appelant ne peut invoquer une négligence. En effet, il n'avait aucune raison de se croire en droit de posséder, sans droit, une arme à feu, dont il est notoire que sa possession est, à tout le moins, soumise à déclaration en ce qui concerne les citoyens Suisses et étrangers au bénéfice d’un permis d’établissement, respectivement à autorisation en ce qui concerne les étrangers qui ne sont pas dans cette dernière catégorie. Or, il n’a avancé aucune explication, ayant un minimum de consistance, mais s’est contenté de protester de son ignorance en la matière, alors que la législation G.________, par exemple, est sensiblement similaire à la nôtre. Par voie de conséquence, il y a lieu de considérer, à l’instar des premiers juges, que le prévenu a agi intentionnellement. Pour le surplus et pour autant que nécessaire, la Cour renvoie à la motivation des premiers juges qu’elle fait sienne (art. 82 al. 4 CPP). Compte tenu de l’ensemble de ce qui précède, la Cour retient qu’entre le mois de septembre et octobre 2018, A.________ a acquis, sans droit, un pistolet SIG 220. 4. Enfin, l’appelant critique la quotité de la peine qui lui a été infligée à titre indépendant et pas uniquement comme conséquence des acquittements qu’il demande. Invoquant une violation de l’art. 47 CP, il reproche aux premiers juges de lui avoir infligé une peine inopportune et excessivement sévère, compte tenu, notamment, de la jurisprudence rendue dans des affaires similaires. Il reproche par ailleurs aux premiers juges de ne pas avoir tenu compte de sa toxicodépendance, qui justifierait de faire application de l'art. 19 al. 3 let. b LStup (cf. déclaration d’appel, ch. 9, p. 12 ss). 4.1. A titre liminaire,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4.2. Selon l'art. 47 CP, le juge fixe la peine d'après la culpabilité de l'auteur. Il prend en considération les antécédents et la situation personnelle de ce dernier ainsi que l'effet de la peine</w:t>
      </w:r>
    </w:p>
    <w:p>
      <w:r>
        <w:t>Tribunal cantonal TC Page 10 de 17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de 18 grammes pour la cocaïne, respectivement de 12 grammes en ce qui concerne l’héroïne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w:t>
      </w:r>
    </w:p>
    <w:p>
      <w:r>
        <w:t>Tribunal cantonal TC Page 11 de 17 Lors de la fixation de la peine, le juge doit également tenir compte des circonstances atténuantes énumérées à l'art. 48 CP et de la circonstance aggravante du concours prévue à l'art. 49 CP. 4.3. L'art. 19 al. 3 let. b LStup dispose que le tribunal peut atténuer la peine, dans le cas d'une infraction visée à l’art. 19 al. 2 LStup,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3e éd., 2010, art. 19 LStup n. 117), les deux conditions sont cumulatives. Il ne suffit pas d'être consommateur pour bénéficier de l'atténuation, mais il faut être toxicodépendant selon la classification CIM-10 de l'OMS (FF 2006 p. 8179 et FF 2001 p. 3594 ; cf. également arrêt TF 6B_291/2020 du 15 mai 2020 consid. 2.2.4 et les réf. cit.). Par ailleurs, les actes commis doivent exclusivement servir à la consommation personnelle de l'auteur et non alimenter son entretien (ibidem). 4.4. Ce jour, A.________ est reconnu coupable de crime, délit et contravention à la loi fédérale sur les stupéfiants, délit à la loi fédérale sur les armes et contravention à la loi fédérale sur le transport de voyageurs. La Cour constate que pour chaque infraction retenue, à l’exception des contraventions – qui ont été sanctionnées d’une amende et ne sont pas remises en question en appel –, seule une peine privative de liberté, à l’exclusion d’une peine pécuniaire, entre en considération, vu la nature des infractions commises. En effet, une peine pécuniaire n’est pas de nature à lui faire prendre conscience de la gravité de ses actes et de ses responsabilités et de pallier de manière efficace le risque de récidive. Le prévenu le ne conteste d’ailleurs pas. Les peines à prononcer étant ainsi de même genre, les différentes infractions à juger ce jour entrent en concours au sens de l’art. 49 CP. L’infraction la plus grave abstraitement est le crime à la LStup, puni d’une peine privative de liberté minimale d’un an et de 20 ans au plus (cf. art. 19 al. 2 LStup et art. 40 CP). Par conséquent, le prévenu encourt une peine privative de liberté minimale d’un an et de 20 ans au plus (ibidem), dans les limites de l'interdiction de la reformatio in pejus (art. 391 al. 2 CPP). 4.5. La faute du prévenu est lourde et sa culpabilité est importante. En effet, dans le cas présent, ce ne sont pas tant les quantités qui sont accablantes – même si elles demeurent très largement supérieures à la limite du cas grave posée par la jurisprudence (cf. supra consid. 4.2.) – que le fait que l'appelant semble tout simplement incapable de cesser de commettre des infractions graves, malgré de lourdes condamnations par le passé, comme on y reviendra plus avant dans le cadre de ses antécédents (cf. infra consid. 4.6.). Or, aucune de ces sanctions n'a manifestement été assez sévère pour dissuader l'appelant de récidiver. A l'instar des premiers juges, il faut par ailleurs relever que l'appelant a su mettre sur pied un trafic local en fidélisant une clientèle restreinte, mais régulière, avec laquelle il partageait parfois gracieusement sa consommation. Il a ainsi démontré, s'il le fallait encore, son parfait mépris pour la santé des consommateurs qu'il approvisionnait. Son activité délictueuse s'est par ailleurs étendue sur une période de 6 mois – à tout le moins – et lui a permis de subvenir à ses besoins personnels lorsqu’il ne travaillait pas et même d’envoyer de l’argent à sa fille à H.________. Par ailleurs, si l’on ne peut effectivement pas reprocher à l'appelant de ne pas avoir collaboré à l'enquête, on doit tout de même retenir qu'en contestant les faits les plus graves et en n’admettant les moins graves qu'une fois confronté aux éléments accablants révélés par l'enquête tout en persistant bien souvent à les minimiser, l'appelant a démontré qu'il n'avait toujours pas pris la pleine mesure de la gravité des faits qui lui sont</w:t>
      </w:r>
    </w:p>
    <w:p>
      <w:r>
        <w:t>Tribunal cantonal TC Page 12 de 17 reprochés. En somme, le comportement de l'appelant est tout simplement déplorable. Le Tribunal pénal a par ailleurs eu raison de ne pas tenir compte d'une toxicodépendance de l'appelant : s'il est en effet incontestable que ce dernier consommait, rien ne permet de considérer, comme il le voudrait, qu'il était toxicodépendant au sens de la classification CIM-10 de l'OMS. Comme l'ont relevé les premiers juges de manière pertinente, il est en effet évident que si tel avait été le cas, il aurait vraisemblablement recouru à un traitement de substitution (cf. jugement entrepris, p. 25, 1er §). Par surabondance de motifs, les médecins pénitentiaires, auxquels l'appelant a eu tout loisir de s'adresser depuis le début de sa détention provisoire, auraient facilement pu en attester. Bien que la circonstance atténuante de l'art. 19 al. 3 let. b LStup au sens de la jurisprudence précitée ne soit ainsi pas réalisée, on tiendra néanmoins compte, mais dans une moindre mesure, du fait que l'appelant a partiellement agi pour financer sa propre consommation de stupéfiants. En revanche, le caractère local du trafic n'est évidemment pas un élément à décharge ; il n'y a en effet pas lieu de récompenser les trafiquants qui n'étendent pas leur activité délictueuse au-delà des frontières suisses. Compte tenu de l’ensemble des éléments qui précèdent, une peine privative de liberté de l'ordre de 38 à 40 mois est indiquée comme peine de base pour sanctionner les agissements de A.________. La Cour souligne également le comportement blâmable du prévenu eu égard au volet du dossier qui concerne la violation de la loi fédérale sur les armes. Si le fait d’acquérir, sans droit, une arme de poing – en l’occurrence, un pistolet – n’est, en soi, pas hautement répréhensible pour un justiciable lambda, cela n’est, en revanche, pas anodin pour un individu qui, à l’instar de l’appelant, a déjà été condamné par le passé pour extorsion, chantage et brigandage. En conséquence, si la culpabilité objective du prévenu doit être qualifiée de légère s’agissant de ce volet du dossier, sa culpabilité subjective convient, quant à elle, d’être qualifiée de légère à moyenne, ce qui conduit corollairement à une aggravation sensible de la peine entrant en considération. Compte tenu de ce qui précède, une peine privative de liberté de l'ordre de 2 mois est, à tout le moins, indiquée pour sanctionner les agissements de A.________ eu égard au volet du dossier qui concerne la violation de la loi fédérale sur les armes. 4.6. S’agissant de son mobile, s’il n’était pas purement égoïste, comme on vient de le voir, il était, à tout le moins essentiellement, soit de manière prépondérante, dicté par l’appât d’un gain rapide et conséquent. A cela s'ajoute encore que seule l’arrestation du prévenu aura permis de mettre un terme à son trafic. S’agissant de sa situation personnelle, elle peut être résumée comme suit : A.________ est né en 1968 à I.________, pays duquel il est ressortissant. Il a deux enfants à I.________ et un à H.________. Il n’a aucune autorisation de séjour pour demeurer en Suisse. Il est célibataire et a deux enfants à charge. Il a une formation de pâtissier et de glacier et travaille habituellement dans la restauration. A.________ a été arrêté le 4 février 2019. Il a été maintenu en détention provisoire jusqu’au 1er décembre 2019 et purge actuellement sa peine de manière anticipée depuis le 2 décembre 2019 (cf. jugement attaqué, ad situation personnelle, let. C., p. 14 et PV de la séance de ce jour). En somme, sa situation personnelle est un élément qui doit être qualifié de neutre dans le cadre de la fixation de la peine. S’agissant des antécédents du prévenu, force est de constater que son casier judiciaire fait état de trois précédentes condamnations. Il a en effet été condamné le 28 novembre 2012 par la Cour d’appel du Tribunal cantonal de l’Etat de Fribourg notamment pour vol, dommages à la propriété,</w:t>
      </w:r>
    </w:p>
    <w:p>
      <w:r>
        <w:t>Tribunal cantonal TC Page 13 de 17 extorsion et chantage, violation de domicile, délits à la LCR et à la LStup à une peine privative de liberté de 30 mois, le 16 décembre 2013 par la Cour d’appel du Tribunal cantonal de l’Etat de Vaud notamment pour brigandage, délits à la LCR et à la LArm à une peine privative de liberté de 60 mois et le 17 janvier 2019 par le Ministère public du canton de Genève pour infraction à la LCR à une peine pécuniaire de 40 jours-amende avec sursis pendant 3 ans. Le prévenu se trouve donc en état de récidive spéciale en qui concerne les infractions à la LArm. Dans ces circonstances, l’appelant n'est pas fondé à se prévaloir de son absence d'antécédents, étant rappelé que celle-ci en soi est un critère neutre (cf. ATF 136 IV 1 consid. 2.6.4). S’agissant de sa volonté de s’amender, la Cour est d’avis qu’elle est toute relative, pour ne pas dire nulle. D’une part, sa collaboration au cours de l’instruction doit être qualifiée de mauvaise. En effet, lorsqu’il ne s’est pas borné à nier en bloc les accusations portées contre lui, le prévenu n’a eu de cesse de louvoyer, de mentir, de se contredire et d’adapter sa version des faits au gré de l’avancement de l’instruction et de ses seuls intérêts, reconnaissant les faits les moins graves seulement et uniquement lorsque les preuves contre lui devenaient accablantes et qu’il n’était pas possible qu’il échappe à une condamnation. D’autre part, il ne donne pas l'impression d'avoir saisi la gravité des actes qui lui sont reprochés, ne reconnaissant toujours pas les faits les plus graves, s’enferrant dans une ligne de défense cousue de fil blanc. Qui plus est, à ce jour, il n’a pas exprimé le moindre regret. Dans ces circonstances, on retiendra que ses capacités d’introspection semblent ténues. La responsabilité pénale du prévenu est pleine et entière. Le prévenu ne le conteste d’ailleurs pas. S’agissant des éventuels motifs d’atténuation obligatoire de la peine, au sens de l’art. 48 CP, la Cour, à l’instar du Tribunal pénal, n’en retient aucun. Le prévenu ne le conteste pas non plus. 4.7. Compte tenu de l’ensemble de ces éléments, en particulier de la gravité des faits, de la culpabilité du prévenu jugée importante, de sa faute qualifiée de lourde eu égard au volet LStup du dossier, de sa situation personnelle telle qu’exposée plus haut, de ses antécédents et de son absence de prise de conscience, mais encore et surtout, de l’interdiction de la reformatio in pejus, la Cour estime qu’une peine privative de liberté de 40 mois est adéquate pour sanctionner les agissements de A.________. 4.8. Les contraventions seront, quant à elles, sanctionnées d’une amende de CHF 1’000.-, dès lors, d’une part, que le prévenu n’en conteste ni le principe, ni la quotité et compte tenu du fait, d’autre part, que sa fixation, telle qu’opérée par les premiers juges, n’apparaît pas comme illégale ou inéquitable (art. 404 al. 2 CPP). Il s’ensuit le rejet de l’appel sous cet angle. 5. L’appelant sollicite une peine compatible avec le sursis complet (cf. ch. 2 des conclusions prises à l’appui de sa déclaration d’appel, p. 16). Cela étant, la quotité de la peine privative de liberté prononcée, soit 40 mois dans le cas d’espèce, exclut d’emblée l’octroi du sursis qu’il soit complet ou partiel. Il s’ensuit le rejet de l’appel sous cet angle également.</w:t>
      </w:r>
    </w:p>
    <w:p>
      <w:r>
        <w:t>Tribunal cantonal TC Page 14 de 17 6. L'appelant s’oppose également à l'expulsion prononcée à son encontre. Toutefois, il résulte de sa motivation qu’il conteste son expulsion uniquement comme conséquence des acquittements qu’il demande (cf. PV, p. 3), dès lors qu’il se prévaut du fait que seules les infractions au sens de l’art. 19 al. 2 LStup donnent lieu à une expulsion obligatoire, conformément au prescrit de l’art. 66a al. 1 let. o CP (cf. déclaration d’appel, ch. 15, p. 16). Or, la culpabilité de l’appelant ayant été confirmée en appel s’agissant de la disposition précitée et l’intéressé n'alléguant au surplus pas contester son expulsion à titre indépendant – à tout le moins, il ne motive aucunement ce grief (ibidem, a contrario) –, la Cour n’est ainsi pas tenue d’examiner d’office cette problématique, sauf à prévenir une décision qui apparaîtrait comme illégale ou inéquitable (art. 404 al. 2 CPP), ce qui n’est pas le cas en l’espèce. 7.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7.1. En l’espèce, une autre répartition des frais judiciaires de première instance ne se justifie pas, dès lors que le jugement entrepris est intégralement confirmé en appel. Quant aux frais de la procédure d’appel, ils doivent être mis à la charge de A.________, qui succombe. Ils sont fixés à CHF 3’300.- (émolument: CHF 3’000.-; débours: CHF 300.-), hors frais de défense d'office.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7.3.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t>Tribunal cantonal TC Page 15 de 17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7.4. Me Marino Montini a été désigné défenseur d’office de A.________ par ordonnance du Ministère public du 6 février 2019, désignation qui vaut également pour la procédure d’appel. Sur la base de la liste de frais produite aujourd’hui en séance, la Cour constate que Me Marino Montini a indiqué avoir consacré 225 minutes à des courriers et des entretiens avec son client ; la Cour est d’avis que 2 heures suffisent à ces opérations. De même, Me Montini a indiqué 420 minutes pour la préparation et la comparution à la séance de la Cour ; or, la séance a duré une heure et la Cour tient compte de 2 heures pour la préparation de la séance et une heure pour les opérations post-jugement. Ainsi, elle retient que Me Marino Montini a consacré utilement 970 minutes à la défense des intérêts de son mandant. Aux honoraires d’un montant de CHF 2’910.- (au tarif horaire de CHF 180.-) s’ajoutent les débours par CHF 145.50 (5 %), les frais de vacation par CHF 250.- (à CHF 2.50 par kilomètre) et la TVA par CHF 254.50 (7.7 %). Par conséquent, l’indemnité de défenseur d’office de Me Marino Montini, pour la procédure d’appel, est fixée à CHF 3'560.-, TVA comprise. En application de l’art. 135 al. 4 CPP, A.________ sera tenu de rembourser ce montant à l’Etat dès que sa situation financière le permettra. la Cour arrête : I. L’appel est rejeté. Partant, le jugement rendu le 10 juin 2020 par le Tribunal pénal de l’arrondissement de la Sarine est confirmé dans la teneur suivante : La Cour d’appel pénal 1. acquitte A.________ du chef de prévention de blanchiment d’argent au sens de l’art. 305bis ch. 1 CP ;</w:t>
      </w:r>
    </w:p>
    <w:p>
      <w:r>
        <w:t>Tribunal cantonal TC Page 16 de 17 2. le reconnaît coupable de crime, délit et contravention à la loi fédérale sur les stupéfiants, délit à la loi fédérale sur les armes et contravention à la loi fédérale sur le transport de voyageurs et, en application des art. 19 al. 1 let. c et d, 19 al. 2 let. a et 19a ch. 1 LStup ; 33 al. 1 let. a LArm ; 57 al. 3 LTV ; 40, 47, 49, 105 et 106 CP ; 3.i. le condamne à une peine privative de liberté ferme de 40 mois, sous déduction des jours d’arrestation, de détention provisoire et d’exécution anticipée de peine subis depuis le 4 février 2019 (art. 51 CP) ; ii. le condamne au paiement d’une amende de CHF 1'000.-, en cas de non-paiement de l'amende dans le délai qui sera fixé dans la facture et si celle-ci est inexécutable par la voie de la poursuite pour dettes, elle fera place à 20 jours de peine privative de liberté de substitution (art. 106 al. 2 et 3 CP) ; 4. renonce, en application de l’art. 46 al. 2 CP, à ordonner la révocation du sursis octroyé le 17 janvier 2019 par le Ministère public du canton de Genève ; 5. rejette la requête de mise en liberté immédiate formulée le 10 juin 2020 par A.________ ; 6. prend acte que A.________ est en exécution anticipée de peine depuis le 2 décembre 2019, ce qui rend superflu son maintien en détention pour des motifs de sûreté au sens de l’art. 231 al. 1 let. a CPP ; 7. ordonne, en application de l'art. 66a al. 1 let. o CP, l'expulsion judiciaire obligatoire de A.________ pour une durée de 10 ans ; 8. admet partiellement les conclusions civiles formulées le 6 février 2019 par J.________ SA ; partant, condamne A.________ à verser à cette dernière la somme de CHF 125.- à titre de surtaxe et frais administratifs ; 9. ordonne, en application des art. 69 CP et 192 CPP, la confiscation et le maintien au dossier, à titre de pièce à conviction, du pistolet SIG 220 n° A1167043, séquestré le 4 février 2019 ; 10. ordonne, en application de l’art. 69 CP, la confiscation et la destruction de 12 emballages pour stupéfiants (pacsons), d’une assiette à soupe, d’un minigrip vide, de 33.2 g d’héroïne, de 99 g de bicarbonate, d’une balance électronique, de 7 supports de carte SIM, d’un téléphone HUAWEI, de 3 IPHONES, d’un téléphone SAMSUNG avec l’écran cassé, d’une carte PostFinance et d’une carte bancaire de Pristina au nom de K.________ et d’une carte bancaire UBS au nom de L.________, séquestrés le 4 février 2019 ; 11. ordonne, en application de l’art. 70 al. 1 CP, la confiscation de la somme de CHF 300.-, séquestrée le 4 février 2019, et sa dévolution à l’Etat ; 12. rejette la requête d’indemnité au sens de l’art. 429 CPP formulée le 21 avril 2020 par A.________ ; 13.i. prend acte que l’indemnité due à Me MONTFERINI NUOFFER, défenseure d’office de A.________ (pour la période du 5 février au 10 mai 2019), a été arrêtée au montant de CHF 2'257.85 (TVA comprise) ;</w:t>
      </w:r>
    </w:p>
    <w:p>
      <w:r>
        <w:t>Tribunal cantonal TC Page 17 de 17 ii. fixe l'indemnité due à Me Marino MONTINI, défenseur d’office de A.________ (dès le 10 mai 2019), à CHF 8'509.10 (honoraires : CHF 4'715.- ; débours : CHF 235.75 ; frais de déplacements : CHF 2'950.- ; TVA de 7.7% : CHF 608.35) ; 14. condamne A.________, en application des art. 421 et 426 CPP, au paiement des 9/10 des frais de procédure, le 1/10 restant étant laissé à la charge de l’Etat de Fribourg : émolument global : CHF 3'145.- (Ministère public : CHF 1'645.- ; Tribunal pénal : CHF 1’500.-), sous réserve d'éventuelles factures complémentaires ; débours : CHF 25'912.95 (Ministère public : CHF 14'996.- ; Tribunal pénal : forfait de CHF 150.- + indemnité versée à Me MONTFERINI NUOFFER : CHF 2'257.85 + indemnité versée à Me MONTINI : CHF 8'509.10), sous réserve d'éventuelles factures complémentaires ; 15. dit que A.________ est tenu de rembourser à l'Etat de Fribourg, qui en a fait l'avance, les 9/10 du montant des indemnités allouées sous chiffres 13.i. et 13.ii. (art. 135 al. 4 let. a CPP a contrario). II. En application de l’art. 428 al. 1 CPP, les frais de la procédure d’appel dus à l’Etat sont mis à la charge de A.________. Ils sont fixés à CHF 3’300.- (émolument: CHF 3’000.-; débours: CHF 300.-). III. Pour la procédure d’appel, l’indemnité de défenseur d’office de Me Marino Montini est fixée à CHF 3'560.-, TVA par CHF 254.50 comprise. En application de l’art. 135 al. 4 CPP, A.________ est tenu de rembourser cette indemnité à l'Etat dès que sa situation financière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mars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