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88 vom 11. Oktober 2019</w:t>
      </w:r>
    </w:p>
    <w:p>
      <w:r>
        <w:t>FR Kantonsgericht, 2019-10-11, FR</w:t>
      </w:r>
    </w:p>
    <w:p>
      <w:r>
        <w:rPr>
          <w:b/>
        </w:rPr>
        <w:t xml:space="preserve">Quelle: </w:t>
      </w:r>
      <w:r>
        <w:t>https://mcp.opencaselaw.ch/entscheid/fr_gerichte_501_2019_88</w:t>
      </w:r>
    </w:p>
    <w:p>
      <w:r>
        <w:t>FR: FR_GERICHTE 501 2019 88 du 11 octobre 2019</w:t>
      </w:r>
    </w:p>
    <w:p>
      <w:r>
        <w:t>IT: FR_GERICHTE 501 2019 88 del 11 ottobre 2019</w:t>
      </w:r>
    </w:p>
    <w:p>
      <w:pPr>
        <w:pStyle w:val="Heading2"/>
      </w:pPr>
      <w:r>
        <w:t>Regeste</w:t>
      </w:r>
    </w:p>
    <w:p>
      <w:r>
        <w:t>Arrêt de la Cour d'appel pénal du Tribunal cantonal | Strafrecht</w:t>
      </w:r>
    </w:p>
    <w:p>
      <w:pPr>
        <w:pStyle w:val="Heading2"/>
      </w:pPr>
      <w:r>
        <w:t>Erwägungen</w:t>
      </w:r>
    </w:p>
    <w:p>
      <w:r>
        <w:rPr>
          <w:b/>
        </w:rPr>
        <w:t>E. 1.1</w:t>
      </w:r>
    </w:p>
    <w:p>
      <w:r>
        <w:t>al. 3) lorsque le condamné présente, au vu de l’ensemble de ses condamnations, un danger pour la sécurité publique (cf. ATF 139 II 121 consid. 5.5.1).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TF 6B_549/2019 du 29 mai 2019 consid. 2.1 ; 6B_594/2019 du 4 juillet 2019 consid. 2.1 et les références citées).</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 condamnation de l’appelant pour lésions corporelles simples au sens de l’art. 123 ch. 1 CP, contravention à la LStup au sens de l’art. 19a LStup et contravention à la LTV au sens de l’art. 57 al. 3 LTV, sa condamnation au paiement d’une amende de CHF 300.- ainsi que son acquittement pour cause d’irresponsabilité du chef de prévention de tentative de lésions corporelles graves au sens des art. 22 al. 1 et 122 CP, sont entrés en force (art. 399 al. 4 et 402 CPP a contrario). Il en va de même de la confiscation et destruction des objets séquestrés sous pièces 2891 et 2406, du renvoi de C.________ à faire valoir ses prétentions civiles par la voie civile, ainsi que de l’indemnité allouée au défenseur d’office. Enfin, vu la déclaration du prévenu du 7 octobre 2019, par laquelle il a renoncé à contester le choix de la mesure prononcée, et celle de ce jour, par laquelle il a encore renoncé à contester la révocation du sursis prononcé antérieurement, le jugement entrepris est également entré en force sur ces points.</w:t>
      </w:r>
    </w:p>
    <w:p>
      <w:r>
        <w:rPr>
          <w:b/>
        </w:rPr>
        <w:t>E. 1.3</w:t>
      </w:r>
    </w:p>
    <w:p>
      <w:r>
        <w:t>La procédure est en principe orale (art. 405 CPP), sauf exceptions non réalisées en l'espèce (art. 406 al. 1 et 2 CPP). La Cour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w:t>
      </w:r>
    </w:p>
    <w:p>
      <w:r>
        <w:t>Tribunal cantonal TC Page 5 de 15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2.1</w:t>
      </w:r>
    </w:p>
    <w:p>
      <w:r>
        <w:t>Le prévenu conteste sa condamnation pour violence ou menace contre les autorités ou les fonctionnaires au sens de l’art. 285 CP, à défaut de lien temporel entre les voies de fait commises et un acte officiel de puissance publique. Il conteste par ailleurs qu’un employé d’ORS, entreprise privée active dans différents pays en matière d’accueil de requérants d’asile, puisse être considéré comme étant un fonctionnaire au sens de l’art. 285 CP. Il ne remet en revanche pas en cause les faits qui ont été retenus, constitutifs de voies de faits, qui avaient été reconnus par le prévenu dans ses déclarations à la police (DO 2’004) et devant le Ministère public (DO 3’011).</w:t>
      </w:r>
    </w:p>
    <w:p>
      <w:r>
        <w:rPr>
          <w:b/>
        </w:rPr>
        <w:t>E. 2.2</w:t>
      </w:r>
    </w:p>
    <w:p>
      <w:r>
        <w:t>La Cour est d’avis que les premiers juges ont fait une application pertinente et convaincante de l’art. 285 ch. 1 al. 1 CP aux faits retenus à la charge du prévenu (cf. jugement attaqué, p. 11 ss), lesquels ne sont pas remis en cause. Elle fait donc entièrement sienne leur motivation, qui ne prête pas le flanc à la critique, et y renvoie intégralement (art. 82 al. 4 CPP), en précisant ce qui suit afin de répondre aux griefs formulés par l’appelant : Le statut de fonctionnaire au sens de l’art. 285 CP, défini à l’art. 110 al. 3 CP, recouvre tant les fonctionnaires du point de vue organique que les personnes qui revêtent cette qualité du point de vue fonctionnel, à savoir celles dont les fonctions consistent dans l’accomplissement de tâches publiques (cf. ATF 135 IV 198 consid. 3.3). En l’espèce, les voies de fait à l’encontre de D.________ ont été commises alors que la victime était dans l’exercice de ses fonctions, à savoir surveillant-adjoint du foyer du Bourg (DO 2’006). Une telle activité pour le compte d’ORS, entreprise privée dont la mission est l’encadrement, l’intégration et l’accompagnement des requérants d’asile et des réfugiés, relève manifestement de l’accomplissement de tâches publiques et confère ainsi à D.________ le statut de fonctionnaire au sens de l’art. 285 CP. Le fait qu’il n’était pas en train de s’occuper spécifiquement du prévenu au moment des faits n’y change rien. En effet, s’agissant de la 3ème variante envisagée par l’art. 285 (voies de fait commises sur un fonctionnaire pendant qu’il accomplit un acte officiel), il n’est pas nécessaire que l’acte officiel en question soit effectué à l’intention spécifique du prévenu ou que la fonction en train d’être accomplie le concerne précisément. Les voies de fait doivent simplement intervenir pendant que le fonctionnaire procède à un acte entrant dans ses fonctions (CR CP II, BOETON ENGEL, art. 285 CP, n. 34), ce qui était le cas en l’espèce. Partant, la Cour retient que A.________ s’est rendu coupable de violence ou menace contre les autorités ou les fonctionnaires au sens de l’art. 285 CP. Il s’ensuit le rejet de l’appel et la confirmation du jugement attaqué sur ce point.</w:t>
      </w:r>
    </w:p>
    <w:p>
      <w:r>
        <w:rPr>
          <w:b/>
        </w:rPr>
        <w:t>E. 3</w:t>
      </w:r>
    </w:p>
    <w:p>
      <w:r>
        <w:t>L’appelant conteste la quotité de la peine de manière indépendante.</w:t>
      </w:r>
    </w:p>
    <w:p>
      <w:r>
        <w:t>Tribunal cantonal TC Page 6 de 15</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3.2</w:t>
      </w:r>
    </w:p>
    <w:p>
      <w:r>
        <w:t>L’appelant a été reconnu coupable de lésions corporelles simples, de violence ou menace contre les autorités ou les fonctionnaires, de contravention à la LStup et de contraventions à la LTV. La Cour constate préliminairement que, vu ses antécédents et l’ensemble des circonstances, pour chacun de ces deux délits se justifie le prononcé d’une peine privative de liberté, seule sanction susceptible de faire prendre conscience au prévenu de la gravité de ses actes et d’éviter la</w:t>
      </w:r>
    </w:p>
    <w:p>
      <w:r>
        <w:t>Tribunal cantonal TC Page 7 de 15 récidive. L'infraction la plus grave, à savoir l’infraction de lésions corporelles simples, est punissable d'une peine privative de liberté de trois ans au plus ou d'une peine pécuniaire. Après examen, la Cour estime que, pour chacune des deux infractions, la culpabilité du prévenu doit être qualifiée d’objectivement lourde, compte tenu de la violence et des mobiles dérisoires des agressions commises à l’encontre de C.________ et de D.________, lesquelles étaient au demeurant parfaitement évitables. La responsabilité moyennement diminuée du prévenu attestée par l’expertise psychiatrique (DO 4’050) entraîne cependant une diminution de la culpabilité sur le plan subjectif. Ainsi, la culpabilité du prévenu doit être qualifiée de moyenne. La Cour fixe tout d’abord une peine de base pour l’infraction de lésions corporelles simples, peine qu’elle augmente de manière appropriée pour tenir compte du concours avec l’infraction de violences ou menaces contre les fonctionnaires. Elle tient compte des antécédents du prévenu (récidiviste spécial en raison d’une précédente condamnation pour violences ou menaces contre les autorités et les fonctionnaires) et de sa situation personnelle. Ce faisant, elle estime que la peine privative de liberté de 8 mois prononcée par les premiers juges est adéquate pour sanctionner les agissements de A.________, étant au surplus précisé qu’une telle peine se situe dans la partie basse de la fourchette légale. Le sursis n’assortira pas la peine prononcée ce jour, le prononcé d’une mesure thérapeutique, laquelle implique un pronostic défavorable, formant obstacle à son octroi (ATF 135 IV 180 consid. 2.3).</w:t>
      </w:r>
    </w:p>
    <w:p>
      <w:r>
        <w:rPr>
          <w:b/>
        </w:rPr>
        <w:t>E. 4</w:t>
      </w:r>
    </w:p>
    <w:p>
      <w:r>
        <w:t>Le prévenu fait grief à l’autorité intimée d’avoir alloué des prétentions civiles aux TPF alors que celles-ci ne sont étayées par aucune pièce et ne constituent ainsi que de simples allégations de partie.</w:t>
      </w:r>
    </w:p>
    <w:p>
      <w:r>
        <w:rPr>
          <w:b/>
        </w:rPr>
        <w:t>E. 4.1</w:t>
      </w:r>
    </w:p>
    <w:p>
      <w:r>
        <w:t>Aux termes de l’art. 126 al. 2 CPP, le Tribunal renvoie la partie plaignante à agir par la voie civile lorsqu’elle n’a pas chiffré ses conclusions de manière suffisamment précise ou ne les a pas suffisamment motivées.</w:t>
      </w:r>
    </w:p>
    <w:p>
      <w:r>
        <w:rPr>
          <w:b/>
        </w:rPr>
        <w:t>E. 4.2</w:t>
      </w:r>
    </w:p>
    <w:p>
      <w:r>
        <w:t>Sur ce point également, la Cour fait sienne la motivation du Tribunal (jugement, p. 25). En effet, au vu du montant minime des prétentions civiles allouées au TPF, qui sont manifestement en relation avec le dommage subi, l’on doit admettre que les déclarations des TPF sont suffisantes pour établir le dommage, de sorte que les conclusions civiles n’ont pas besoin, en l’espèce, d’être justifiées par pièces et sont dès lors admises.</w:t>
      </w:r>
    </w:p>
    <w:p>
      <w:r>
        <w:rPr>
          <w:b/>
        </w:rPr>
        <w:t>E. 5</w:t>
      </w:r>
    </w:p>
    <w:p>
      <w:r>
        <w:t>L’appelant conteste enfin l’expulsion judiciaire facultative pour une durée de 5 ans prononcée à son encontre. Il affirme que le jugement entrepris viole grossièrement le droit international en ce sens qu’il ne fait pas la moindre allusion au principe de non-refoulement et à la situation sécuritaire en Afghanistan, bien que ces éléments aient été dûment plaidés et soient déterminants, en violation du principe de proportionnalité, des art. 8 CEDH, 17 Pacte ONU II et 66abis CP. Il se réfère à la situation en Afghanistan sur le plan sécuritaire et humanitaire, dont il a été considéré en 2013 qu’elle menaçait concrètement la vie des personnes, et qui s’est encore aggravée, de manière significative, dans toutes les régions du pays. En l’espèce, il est concrètement à craindre que le prévenu, en tant que ressortissant afghan, venant de la province de Kunduz et victime d’une grave maladie psychiatrique, perde la vie à son retour au pays du fait des violences qui y sont quotidiennement perpétrées, alors qu’il est particulièrement vulnérable en tant que personne gravement malade.</w:t>
      </w:r>
    </w:p>
    <w:p>
      <w:r>
        <w:t>Tribunal cantonal TC Page 8 de 15</w:t>
      </w:r>
    </w:p>
    <w:p>
      <w:r>
        <w:rPr>
          <w:b/>
        </w:rPr>
        <w:t>E. 5.1</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w:t>
      </w:r>
    </w:p>
    <w:p>
      <w:r>
        <w:rPr>
          <w:b/>
        </w:rPr>
        <w:t>E. 5.1.1</w:t>
      </w:r>
    </w:p>
    <w:p>
      <w:r>
        <w:t>L’article 66abis CP introduit un complément à l’expulsion obligatoire, en réglant l’expulsion facultative pour les autres crimes et délits non visés par l’article 66a CP. Cette disposition doit en particulier trouver application dans les cas d’infractions répétées de peu de gravité (arrêts TF 6B_607/2018 du 10 octobre 2018 consid. 1.3 al. 2 et 6B_770/2018 du 24 septembre 2018 consid.</w:t>
      </w:r>
    </w:p>
    <w:p>
      <w:r>
        <w:rPr>
          <w:b/>
        </w:rPr>
        <w:t>E. 5.1.2</w:t>
      </w:r>
    </w:p>
    <w:p>
      <w:r>
        <w:t>Selon l'art. 66a al. 2 CP, voulu comme exception à l’expulsion obligatoire de l’art. 66a al. 1 CP mais qui doit également être pris en considération dans le cadre de l’expulsion facultative selon l’art. 66abis CP (cf. PERRIER DEPEURSINGE, L’expulsion selon les art. 66a à 66d du Code pénal suisse, in RPS 135-2017 p. 398), le juge peut exceptionnellement renoncer à une expulsion lorsque celle-ci mettrait l'étranger dans une situation personnelle grave et que les intérêts publics à l'expulsion ne l'emportent pas sur l'intérêt privé de l'étranger à demeurer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 arrêt TF 6B_704/2019 du 28 juin 2019 consid. 1.2). 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Il n'en demeure pas moins que l'exception de l'art. 66a al. 2 CP doit servir à garantir le principe de proportionnalité (cf. ATF 144 IV 332 consid. 3.3.1). En recourant à la notion de cas de rigueur dans le cadre de l'art. 66a al. 2 CP, le législateur a fait usage d'un concept ancré depuis longtemps dans le droit des étrangers (cf. art. 30 al. 1 let. b ou 50 al. 1 let. b de la loi fédérale sur les étrangers et l’intégration [LEI], ainsi que l'art. 14 de la loi sur l'asile [LAsi]). Compte tenu également du lien étroit entre l'expulsion pénale et les mesures du droit</w:t>
      </w:r>
    </w:p>
    <w:p>
      <w:r>
        <w:t>Tribunal cantonal TC Page 9 de 15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arrêt TF 6B_371/2018 du 21 août 2018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(cf.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(cf.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135 I 143 consid. 1.3.2, arrêts TF 6B_704/2019 du 28 juin 2019 consid. 1.3.2 et les références citées, 6B_1329/2018 du 14 février 2019 consid. 2.3.2 et les références citées).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(cf.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arrêts TF 6B_704/2019 du 28 juin 2019 consid. 1.3.2 et les références citées, 6B_1329/2018 du 14 février 2019 consid. 2.3.2 et les références citées).</w:t>
      </w:r>
    </w:p>
    <w:p>
      <w:r>
        <w:rPr>
          <w:b/>
        </w:rPr>
        <w:t>E. 5.1.3</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w:t>
      </w:r>
    </w:p>
    <w:p>
      <w:r>
        <w:t>Tribunal cantonal TC Page 10 de 15 al. 2 Cst. et 8 par. 2 CEDH (cf. arrêts TF 6B_1078/2018 du 7 novembre 2018 consid. 1.5, 6B_724/2018 du 30 octobre 2018 consid. 2.5; 6B_371/2018 du 21 août 2018 consid. 3.2). Selon la jurisprudence rendue en matière de droit des étrangers, un retour dans le pays d'origine ne cause pas, sur le principe, de préjudice à l'intéressé et à sa famille.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La question de savoir si le retour dans le pays d'origine peut être considéré comme une contrainte acceptable doit ainsi pleinement être prise en compte dans la pesée des intérêts à effectuer (cf. arrêt TF 2C_396/2017 du 8 janvier 2018 consid. 7.6 et les références citées).</w:t>
      </w:r>
    </w:p>
    <w:p>
      <w:r>
        <w:rPr>
          <w:b/>
        </w:rPr>
        <w:t>E. 5.2</w:t>
      </w:r>
    </w:p>
    <w:p>
      <w:r>
        <w:t>En l’espèce, le Tribunal a retenu que le prévenu, célibataire et sans enfant, réside en Suisse depuis 2015, et n’a qu’un cousin à Fribourg alors que sa mère et sa sœur vivent en Afghanistan. Il n’est au bénéfice d’aucune formation et n’a dès lors aucune attache particulière en Suisse. Compte tenu du fait qu’il a eu maille à partir avec la justice des mineurs dès son arrivée en Suisse, qu’il figure déjà au casier judiciaire et qu’il a été condamné pour des infractions de violence, le Tribunal a estimé que l’intérêt public à l’expulsion du prévenu l’emporte sur son intérêt privé à rester en Suisse. L’une des deux conditions cumulatives de la clause de rigueur n’étant pas réalisée, le Tribunal s’est ainsi dispensé d’examiner l’autre condition (situation personnelle grave).</w:t>
      </w:r>
    </w:p>
    <w:p>
      <w:r>
        <w:rPr>
          <w:b/>
        </w:rPr>
        <w:t>E. 5.2.1</w:t>
      </w:r>
    </w:p>
    <w:p>
      <w:r>
        <w:t>Au regard des critères énumérés à l'art. 31 al. 1 OASA, dont il convient de s’inspirer dans le cadre de l’application de l’art. 66a al. 2 CP (cf. consid. 7.1.2 supra), on peut relever que le recourant, âgé de 20 ans, célibataire et sans enfant, est né et a grandi à Kunduz, région du nord de l’Afghanistan. Il est arrivé en Suisse en 2015, alors âgé de 16 ans, et est depuis lors au bénéfice d’un permis F (DO 4’034). S’agissant de sa situation familiale, il ressort du dossier que sa sœur aînée, demeurée en Afghanistan, est désormais établie à Kaboul, ainsi qu’un de ses oncles (DO 4’033). Son père est décédé et sa mère, qui a quitté l’Afghanistan, se trouverait actuellement en Italie, selon le prévenu. Il entretient des contacts téléphoniques avec sa famille (DO 8'411). Il a quitté l’Afghanistan en 2015 avec un cousin maternel qui vit également à Fribourg (DO 3'002, 8'410 et 10'179). Il ne peut donc se prévaloir du droit au respect de sa vie familiale dès lors qu’il est majeur, célibataire et sans enfant, et qu’aucun parent proche ne vit en Suisse, et ne saurait en déduire une protection fondée sur l'art. 8 par. 1 CEDH. En outre, le recourant ne dispose d’aucune formation particulière et ne travaille pas. A son arrivée en Suisse, il a suivi des cours de français, dont il a cependant été renvoyé après quelques mois pour cause d’absentéisme (DO 8'410). Il vit au Foyer du Bourg et perçoit pour tout revenu un montant d’environ CHF 360.- par mois des services sociaux (DO 3'002). Il ne peut dès lors se prévaloir d’une quelconque intégration en Suisse, que ce soit sur le plan professionnel, social ou économique.</w:t>
      </w:r>
    </w:p>
    <w:p>
      <w:r>
        <w:rPr>
          <w:b/>
        </w:rPr>
        <w:t>E. 5.2.2</w:t>
      </w:r>
    </w:p>
    <w:p>
      <w:r>
        <w:t>Cela étant, si l’on ne peut considérer que l’obligation de quitter la Suisse, en tant que telle, représente une ingérence suffisamment grave dans la vie privée du recourant en comparaison avec l’intérêt public à son expulsion, il en va en revanche différemment des conséquences qu’auraient pour lui un retour en Afghanistan. Or, le jugement de première instance n’examine nullement les conséquences concrètes d’un tel renvoi.</w:t>
      </w:r>
    </w:p>
    <w:p>
      <w:r>
        <w:t>Tribunal cantonal TC Page 11 de 15 Le Tribunal fédéral relevait en 2013 que la situation en Afghanistan sur le plan sécuritaire et humanitaire menaçait concrètement la vie des personnes (cf. ATF 139 I 145 consid. 3.6, renvoyant à ATAF 2011/7, 2011/38 et 2011/49). Dans un arrêt du 8 janvier 2018, le TF a considéré que depuis ce constat, la situation s'est encore aggravée, de manière significative, dans toutes les régions du pays. Ceci n'exclut pas en soi tout renvoi vers l’Afghanistan, mais impose d’examiner les désavantages concrets pour la personne concernée, notamment en tenant compte du lieu où elle devra se rendre, et les prendre en considération dans la pesée des intérêts (cf. arrêt TF 2C_396/2017 du 8 janvier 2018 consid. 7.6 et les références citées). Dans un arrêt D-5800/2016 du 13 octobre 2017, le TAF a effectué une analyse approfondie de la situation politique et sécuritaire en Afghanistan. Il a notamment relevé que d’une manière générale, la situation sécuritaire s'est détériorée dans toutes les régions du pays depuis le retrait de la Force internationale d'assistance à la sécurité (FIAS). Le conflit prend de plus en plus le caractère d'une guerre civile, une grande partie du territoire national étant directement affectée par les hostilités entre l’état afghan, les Talibans, des dirigeants locaux et différents groupes d’insurgés, avec en outre des attaques terroristes dans les centres urbains, notamment la ville de Kunduz. L’état afghan n'est pas en mesure d’exercer un contrôle total sur son territoire, en particulier dans certaines provinces - dont celle de Kunduz - où la situation est qualifiée de particulièrement fragile (cf. consid. 7.4.2.). Selon diverses informations, le nombre de victimes n'a cessé d'augmenter ces dernières années et n'a jamais été aussi élevé (consid. 7.4.3). S’agissant de la situation humanitaire, l'approvisionnement en nourriture, en eau et l'accès aux soins médicaux et à l'éducation sont également très problématiques (cf. consid. 7.5.1). Enfin, le système de santé afghan se caractérise par une infrastructure inadéquate avec des infrastructures délabrées, un accès limité aux centres de santé en raison de la situation sécuritaire, une pénurie chronique de personnel qualifié, un système d'information déficient et une mauvaise mise en œuvre de la politique sanitaire nationale. Outre l'accès à des soins de santé adéquats, le coût des soins et des médicaments ainsi que la corruption constituent également un problème majeur pour le système de santé afghan, notamment dans les provinces de Kaboul et de Kunduz (cf. consid. 7.5.3). En résumé, le TAF a estimé que dans une grande partie de l’Afghanistan, la situation en matière de sécurité et les conditions humanitaires étaient si mauvaises que la situation devait être qualifiée de mise en danger concrète au sens de l'article 83 al. 4 LEtr (désormais LEI), de sorte que l’exécution du renvoi ne pouvait être considéré comme raisonnablement exigible (cf. consid. 7.6). S’agissant de la capitale, Kaboul, le TAF a considéré dans un arrêt du 8 février 2019 que la situation, tant sur le plan humanitaire que sécuritaire, s’est dégradée, au point que la situation doit désormais être qualifiée de menace fondamentale pour l’existence (cf. arrêt TAF D-4287 du</w:t>
      </w:r>
    </w:p>
    <w:p>
      <w:r>
        <w:rPr>
          <w:b/>
        </w:rPr>
        <w:t>E. 5.2.3</w:t>
      </w:r>
    </w:p>
    <w:p>
      <w:r>
        <w:t>Il convient dès lors d’examiner si la seconde condition, à savoir si l’intérêt privé du recourant à ne pas être placé dans une telle situation personnelle grave l’emporte sur les intérêts publics présidant à son expulsion. En l’occurrence, le recourant est reconnu coupable de lésions corporelles simples, de violence ou menaces contre les autorités ou les fonctionnaires et de contravention à la LStup et de contraventions à la LTV. En outre, il figure au casier judiciaire à raison d’une inscription pour violence ou menaces contre les autorités ou les fonctionnaires (DO 1'001). Il convient à cet égard de souligner le fait que ces infractions, même si elles ne sont nullement anodines, ne sont pas du même niveau de gravité que celles justifiant une expulsion obligatoire selon l’art. 66a al. 1 CP. Sa culpabilité globale est en outre qualifiée de moyenne, et non de lourde, compte tenu notamment de la diminution de responsabilité due à ses troubles psychiatriques. En conséquence, la durée de la peine privative de liberté qui a été prononcée est de 8 mois, ce qui se situe dans la partie inférieure de la fourchette légale. Par ailleurs, selon le rapport d’expertise psychiatrique, le suivi médical intensif, dont le recourant a fait l’objet lors de son hospitalisation à l’Unité Hermès du CSH-Marsens, s’est avéré positif, avec une meilleure adhésion au cadre, une meilleure observance médicamenteuse, une disparition des crises clastiques et une diminution des menaces et agressions envers le personnel (DO 4'049). L’on peut dès lors espérer une diminution de la dangerosité du recourant au terme de la mesure thérapeutique institutionnelle. Dans ces conditions, la Cour est d’avis que les intérêts publics à l’expulsion facultative du recourant ne sauraient être considérés comme supérieurs à l’intérêt privé de ce dernier à ne pas être renvoyé en Afghanistan, au vu des conséquences graves d’un tel renvoi compte tenu des circonstances concrètes. Partant, l'expulsion prononcée par le Tribunal s'avère contraire au principe de la proportionnalité et doit être annulée. Il s’ensuit l’admission partielle de l’appel. 6.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w:t>
      </w:r>
    </w:p>
    <w:p>
      <w:r>
        <w:t>Tribunal cantonal TC Page 13 de 15 l'autorité d'appel se prononce également sur les frais fixés par l'autorité inférieure (art. 428 al. 3 CPP). 6.1. En l’espèce, l’appel du prévenu est partiellement admis. L’annulation de l’expulsion facultative n’a pas d’influence sur la répartition des frais de première instance, de telle sorte qu’il n’y a pas lieu de modifier la répartition opérée par les premiers juges. S’agissant des frais de la procédure d’appel, celui-ci étant partiellement admis, il se justifie de les mettre à raison de 1/2 à la charge de l’appelant. Ils sont fixés à CHF 3'300.- conformément aux art. 424 CPP, 124 LJ, 33 à 35 et 43 RJ (émolument: CHF 3'000.-; débours: CHF 300.-). 6.2.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En l'espèce, Me Jonathan Rey a été désigné défenseur d’office de A.________ par ordonnance du Ministère public du 18 juillet 2018. Cette désignation vaut également pour la procédure d'appel. Sur la base de la liste de frais qu’il a produite aujourd’hui en séance, la Cour fait globalement droit aux honoraires demandés par Me Jonathan Rey, les opérations étant justifiées. Par conséquent, l’indemnité du défenseur d’office, pour la procédure d’appel, est fixée à CHF 3'444.35, TVA par CHF 246.25 comprise. En application de l'art. 135 al. 4 CPP, A.________ sera tenu de rembourser la moitié de ce montant à l'Etat dès que sa situation financière le permettra. (dispositif en page suivante)</w:t>
      </w:r>
    </w:p>
    <w:p>
      <w:r>
        <w:t>Tribunal cantonal TC Page 14 de 15 la Cour arrête : I. L’appel est partiellement admis. Partant, le jugement du Tribunal pénal de l'arrondissement de la Sarine du 23 mai 2019 est réformé et a désormais la teneur suivante: Le Tribunal pénal 1. acquitte pour cause d’irresponsabilité A.________ du chef de prévention de tentative de lésions corporelles graves au sens des art. 22 al. 1 et 122 CP ; 2. le reconnaît coupable de lésions corporelles simples, de violence ou menace contre les autorités ou les fonctionnaires, de contravention à la LStup et de contraventions à la LTV et, en application des art. 123 ch. 1, 285 ch. 1 al. 1 CP ; art. 19a LStup ; art. 57 al. 3 LTV ; art. 19, 40, 47, 48a, 49, 105 et 106 CP ; 3. i. le condamne à une peine privative de liberté ferme de 8 mois, sous déduction du jour d’arrestation provisoire (pces 6'000ss), des jours de détention provisoire subis du 13 juillet 2018 au 27 février 2019 et des jours de détention pour motifs de sûreté subis du 28 février 2019 à ce jour (art. 51 CP) ; ii. le condamne au paiement d’une amende de CHF 300.-, en cas de non-paiement de l’amende dans le délai qui sera fixé dans la facture et si celle-ci est inexécutable par la voie de la poursuite pour dettes, elle fera place à 6 jours de peine privative de liberté de substitution (art. 106 al. 5 et 36 al. 2 et 5 CP) ; 4. révoque le sursis octroyé le 31 août 2017 par le Ministère public du Canton de Fribourg (art. 46 al. 1 CP) ; 5. ordonne le maintien de A.________ en détention pour motifs de sûreté pour une durée de 3 mois (art. 231 al. 1 let. a CPP) ; 6. prononce, conformément aux art. 56, 57 et 59 CP, à l’encontre de A.________, une mesure thérapeutique institutionnelle, telle que préconisée par l’expert-psychiatre, sous déduction du solde de la peine déjà purgée et non encore déduit en vertu de l’art. 51 CP (art. 431 al. 2 CPP) ; 7. renonce à prononcer l’expulsion facultative de A.________ au sens de l’art. 66abis CP ; 8. prononce, en application de l’art. 69 al. 1 et 2 CP, la confiscation et la destruction de 3 grammes de haschisch séquestrés le 2 juin 2018 (pce 2'801) et du couteau de cuisine « FISKARS » séquestré le 5 juin 2018 (pce 2'406) ; 9. admet les conclusions civiles formulées le 23 juillet 2018 par les Transports publics fribourgeois Trafic (TPF TRAFIC) SA ; partant, condamne A.________ à verser à cette dernière la somme de CHF 125.- à titre de surtaxe, titre de transport et frais administratifs ; 10. renvoie, en application de l’art. 126 al. 2 let. b CPP, C.________ à agir par la voie civile pour faire valoir ses éventuelles prétentions civiles ;</w:t>
      </w:r>
    </w:p>
    <w:p>
      <w:r>
        <w:t>Tribunal cantonal TC Page 15 de 15</w:t>
      </w:r>
    </w:p>
    <w:p>
      <w:r>
        <w:rPr>
          <w:b/>
        </w:rPr>
        <w:t>E. 8</w:t>
      </w:r>
    </w:p>
    <w:p>
      <w:r>
        <w:t>février 2019 consid. 6.2.2). Ce n’est qu’en présence de facteurs particulièrement favorables (par exemple un homme jeune, en bonne santé, disposant d’un réseau social et d’une place de travail ; cf. consid. 7.3.1) qu’un renvoi vers Kaboul pourrait exceptionnellement être considéré comme exigible (cf. consid. 6.2.2). Enfin, selon les recommandations actuelles du Département fédéral des affaires étrangères (DFAE) pour l’Afghanistan, la sécurité n’est pas assurée : il existe dans l’ensemble du pays des risques de combats violents, de tirs de roquettes, de mines, d’attentats terroristes, d’enlèvements et d’agressions criminelles violentes telles que les viols et vols à main armée. Les nombreux attentats à la bombe et les attentats suicides sont principalement dirigés contre les autorités afghanes ainsi que contre les forces de sécurité nationales et internationales. Les cibles civiles comme les marchés, les manifestations sportives, les rassemblements, les organisations d’aide humanitaire et les minorités religieuses sont également régulièrement attaquées</w:t>
      </w:r>
    </w:p>
    <w:p>
      <w:r>
        <w:t>Tribunal cantonal TC Page 12 de 15 (www.dfae.admin.ch, sous Conseils aux voyageurs &amp; représentations, Afghanistan, consulté le</w:t>
      </w:r>
    </w:p>
    <w:p>
      <w:r>
        <w:rPr>
          <w:b/>
        </w:rPr>
        <w:t>E. 11</w:t>
      </w:r>
    </w:p>
    <w:p>
      <w:r>
        <w:t>fixe l’indemnité due à Me Jonathan REY, défenseur d’office de A.________, à CHF 4'740.85 (honoraires par CHF 3'948.-, débours par CHF 197.40, frais de déplacement par CHF 256.50, TVA à 7.7% par CHF 338.95) ;</w:t>
      </w:r>
    </w:p>
    <w:p>
      <w:r>
        <w:rPr>
          <w:b/>
        </w:rPr>
        <w:t>E. 12</w:t>
      </w:r>
    </w:p>
    <w:p>
      <w:r>
        <w:t>condamne A.________, en application des art. 419, 421 et 426 CPP, au paiement pour 1/2 des frais de procédure, le solde étant laissé à la charge de l’Etat de Fribourg, par : émolument global : CHF 2'100.- (Ministère public : CHF 1'051.- ; Tribunal pénal : CHF 1'049.-), sous réserve d’éventuelles factures complémentaires ; débours en l’état : CHF 13'898.40 (Ministère public : CHF 9'057.55 + Tribunal pénal forfait de CHF 100.- ; indemnité versée au défenseur d’office du prévenu : CHF 4'740.85), sous réserve d’éventuelles factures complémentaires) ;</w:t>
      </w:r>
    </w:p>
    <w:p>
      <w:r>
        <w:rPr>
          <w:b/>
        </w:rPr>
        <w:t>E. 13</w:t>
      </w:r>
    </w:p>
    <w:p>
      <w:r>
        <w:t>dit que A.________ est tenu de rembourser à l’Etat de Fribourg, qui en a fait l’avance, la moitié du montant de l’indemnité allouée sous chiffre 11. (art. 135 al. 4 let. a CPP a contrario). II. Les frais de la procédure d’appel, hors indemnités du défenseur d’office, sont fixés à CHF 3'300.- (émolument: CHF 3'000.- ; débours: CHF 300.-). Ils sont mis à la charge de A.________ à raison de la moitié, le solde étant mis à la charge de l'Etat. III. L’indemnité de défenseur d’office de A.________ due à Me Jonathan Rey pour l’appel est fixée à CHF 3'444.35, TVA par CHF 246.25 en sus. A.________ est astreint à rembourser la moitié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11 octobre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