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47 vom 26. Juni 2019</w:t>
      </w:r>
    </w:p>
    <w:p>
      <w:r>
        <w:t>FR Kantonsgericht, 2019-06-26, FR</w:t>
      </w:r>
    </w:p>
    <w:p>
      <w:r>
        <w:rPr>
          <w:b/>
        </w:rPr>
        <w:t xml:space="preserve">Quelle: </w:t>
      </w:r>
      <w:r>
        <w:t>https://mcp.opencaselaw.ch/entscheid/fr_gerichte_501_2019_47</w:t>
      </w:r>
    </w:p>
    <w:p>
      <w:r>
        <w:t>FR: FR_GERICHTE 501 2019 47 du 26 juin 2019</w:t>
      </w:r>
    </w:p>
    <w:p>
      <w:r>
        <w:t>IT: FR_GERICHTE 501 2019 47 del 26 giugno 2019</w:t>
      </w:r>
    </w:p>
    <w:p>
      <w:pPr>
        <w:pStyle w:val="Heading2"/>
      </w:pPr>
      <w:r>
        <w:t>Regeste</w:t>
      </w:r>
    </w:p>
    <w:p>
      <w:r>
        <w:t>Arrêt de la Cour d'appel pénal du Tribunal cantonal | Strafrecht</w:t>
      </w:r>
    </w:p>
    <w:p>
      <w:pPr>
        <w:pStyle w:val="Heading2"/>
      </w:pPr>
      <w:r>
        <w:t>Erwägungen</w:t>
      </w:r>
    </w:p>
    <w:p>
      <w:r>
        <w:rPr>
          <w:b/>
        </w:rPr>
        <w:t>E. 28</w:t>
      </w:r>
    </w:p>
    <w:p>
      <w:r>
        <w:t>janvier 2015. De plus, il n’est fait aucune mention dans la citation à comparaître aux débats du Juge de police d’une éventuelle révocation des sursis antérieurs. Or, selon lui, la doctrine considère qu’il doit être mentionné dans la citation à comparaître si le prévenu s’expose à ce qu’un sursis précédent soit révoqué, ce qui est d’ailleurs usuel dans la pratique fribourgeoise. Le prévenu n’a donc pas pu faire valoir ses arguments sur cette question de sorte que son droit d’être entendu et son droit à un procès équitable n’ont pas été respectés. 2.1.2 En l’espèce, la Cour admet que le prévenu aurait dû être informé du fait que la question de l’éventuelle révocation des sursis allait être examinée afin qu’il puisse faire valoir ses arguments, ce qui n’a à tort pas été fait. Cela étant, la Cour dispose d'un plein pouvoir de cognition en fait en droit de sorte qu’une violation du droit d’être entendu peut être réparée dans le cadre de l'appel (ATF 137 I 195, 136 III 174 consid. 5.1.2 a contrario; TF, arrêt 5A_501/2011 du 2 mai 2012 consid. 6.2), y compris en présence d'un vice grave lorsque le renvoi constituerait une vaine formalité et aboutirait à un allongement inutile de la procédure (ATF 136 V 117 consid. 4.2.2.2). Le prévenu est de plus assisté d'un défenseur d'office en procédure d'appel, ce qui lui permet de sauvegarder l'intégralité de ses droits. 2.2. 2.2.1 Sur le fond l’appelant soutient que le Juge de police s’est uniquement fondé sur la commission de nouvelles infractions similaires pour justifier la révocation du sursis, sans examiner la question du risque de commission de nouvelles infractions (pronostic), violant ainsi l’art. 46 al. 1 CP. Si le prévenu admet qu’il avait été rendu attentif, lors de sa condamnation du 16 novembre 2017, au fait que s’il ne s’amendait pas, le sursis risquerait fortement d’être révoqué, il relève qu’il n’a toutefois plus commis d’infraction depuis sa dernière condamnation dès lors que les infractions qui font l’objet du présent jugement ont été commises avant le jugement du 16 novembre 2017, ce qui aurait dû plaider en sa faveur. 2.2.2 Selon l'art. 46 al. 1 CP, si, durant le délai d'épreuve, le condamné commet un crime ou un délit et qu'il y a dès lors lieu de prévoir qu'il commettra de nouvelles infractions, le juge révoque le sursis ou le sursis partiel. S'il n'y a pas lieu de prévoir que le condamné commette de nouvelles infractions, le juge renonce à ordonner la révocation, mais il peut, notamment, adresser au condamné un avertissement et prolonger le délai d'épreuve de la moitié au plus de la durée fixée dans le jugement (art. 46 al. 2 CP). Malgré la commission d'une nouvelle infraction, le juge ne peut dès lors pas ordonner la révocation du sursis antérieur en l'absence d'un pronostic défavorable (ATF 134 IV 140 consid. 4), étant précisé que la situation est ici comparable à celle prévalant lorsqu'il s'agit d'évaluer les perspectives d'amendement dans le cadre de l'octroi du sursis total ou partiel (arrêt TF 6B_492/2008 du 19 mai 2009 consid. 3.1.1, non publié aux ATF 135 IV 152). Le juge doit ainsi se fonder sur une appréciation globale des circonstances du cas d'espèce pour estimer le risque de récidive. En particulier, il doit prendre en considération l'effet dissuasif que la nouvelle peine peut exercer, si elle est exécutée. A l'inverse, lorsqu'un sursis antérieur est révoqué, l'exécution de la peine suspendue peut conduire à nier un pronostic défavorable et à assortir la nouvelle peine du sursis (ATF 134 IV 140 consid. 4.4 et 4.5).</w:t>
      </w:r>
    </w:p>
    <w:p>
      <w:r>
        <w:t>Tribunal cantonal TC Page 5 de 7 2.2.3 Le Juge de police a révoqué le sursis accordé le 28 janvier 2015 par le Ministère public de Bâle-Ville au motif que le prévenu a été reconnu coupable d'infractions similaires à celles pour lesquelles il a été condamné le 28 janvier 2015 et du fait qu’il avait été expressément rendu attentif, lors de sa condamnation du 16 novembre 2017, au fait que s'il ne s'amendait pas, le sursis précité risquerait très fortement d'être révoqué (cf. jugement attaqué, ch. VI., p. 15). 2.2.4. Certes, durant le délai d’épreuve, le prévenu a commis de nouvelles infractions similaires à celles pour lesquelles il a été condamné le 28 janvier 2015, ce qui fait de lui un récidiviste spécial. Il convient toutefois également d’examiner le pronostic sur son comportement futur afin de décider de l’éventuelle révocation du sursis en faisant une appréciation globale de sa situation et de son comportement. Il est vrai que le prévenu avait été rendu attentif, lors de sa condamnation du 16 novembre 2017, au fait que s'il ne s'amendait pas, le sursis précité risquerait très fortement d'être révoqué. Cependant, comme le souligne l’appelant, les infractions qui font l’objet du jugement attaqué ont toutes été commises entre les mois de juin et août 2017, soit avant que le jugement du 16 novembre 2017 ne soit prononcé, et le prévenu, certes actuellement en détention depuis mai 2018 pour purger d’anciennes peines privatives de liberté, n’a pas commis de nouvelles infractions depuis août 2017. L’on doit aussi tenir compte de l’impact qu’aura sur le prévenu la privation de liberté de 3 mois ferme qui lui a été infligée, que celui-ci n'a pas remise en cause. En outre, comme l’a justement relevé le Juge de police dans le cadre de la fixation de la quotité de la peine du prévenu (cf. jugement attaqué, p. 14), il y a fort à craindre qu’une peine pécuniaire ne soit pas exécutée par le prévenu vu sa situation personnelle et financière (multirécidiviste, rentier AI et toxicomane), ce qui rendrait la révocation du sursis du 28 janvier 2015, qui porte sur une peine pécuniaire de 150 jours-amende à CHF 30.-, sans effet au niveau de la prévention spéciale. Au demeurant, le délai d’épreuve du sursis octroyé le 28 janvier 2015 a été prolongé jusqu’en 2022 de sorte que si le prévenu récidive à sa sortie de prison, la question de la révocation du sursis pourra être réexaminée. Le Ministère public a en outre expressément renoncé à la révocation des sursis dans son acte d’accusation du 7 novembre 2018 et s’est désintéressé de la présente procédure d’appel, ne prenant pas de conclusions sur l’appel déposé (cf. détermination du 27 mai 2019). Compte tenu de ces éléments, la Cour ne peut poser un pronostic défavorable sur le comportement futur de A.________ et estime que la peine privative de liberté ferme de 3 mois prononcée par le premier juge, couplée à l’exécution d’une peine privative de liberté d’une année environ pour de précédentes condamnations, devrait suffire à le détourner de la commission de nouvelles infractions, ce qui justifie de renoncer à la révocation du sursis en question. Partant, l’appel est admis. 3. 3.1.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Les frais d’appel sont fixés à CHF 1’100.- (émolument: CHF 1’000.-; débours: CHF 100.-). Ils sont mis à la charge de l'Etat, l'appel étant admis.</w:t>
      </w:r>
    </w:p>
    <w:p>
      <w:r>
        <w:t>Tribunal cantonal TC Page 6 de 7 3.2.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Selon l'art. 57 al. 1 RJ, l'indemnité du défenseur d'office doit être fixée compte tenu du travail requis ainsi que de l'importance et de la difficulté de l'affaire. L'indemnité horaire est de CHF 180.- en cas de fixation sur la base d'une liste de frais détaillée. Si l’affaire est essentiellement traitée par un stagiaire, les opérations qu’il a menées sont rémunérées sur la base d’une indemnité horaire de CHF 120.- (art. 57 al. 2 RJ). Les courriers et téléphones qui ne sortent pas d'une simple gestion administrative du dossier peuvent, par application analogique de l'art. 67 RJ, être indemnisés par une indemnité forfaitaire de CHF 500.- au maximum. Les débours pour les frais de copie, de port et de téléphone nécessaires à la conduite du procès sont remboursés sous la forme d'un forfait de 5% de l'indemnité de base (art. 58 al. 2 RJ).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 Enfin, le taux de la TVA est de 7.7% pour les opérations postérieures au 1er janvier 2018 (art. 25 al. 1 LTVA). 3.3. En l'espèce, Me Bernard Loup a été nommé défenseur d'office de A.________ par ordonnance du Ministère public du 23 novembre 2017 (DO 7’000). Cette nomination vaut également pour la procédure d'appel. Le 20 mai 2019, Me Loup a déposé sa liste de frais d'un montant de CHF 1'545.90, incluant CHF 110.50 de TVA, indiquant avoir consacré à la présente procédure, 6 heures et 40 minutes, dont 30 minutes effectuées par un avocat-stagiaire qui doivent être rémunérées au tarif horaire de CHF 120.-. La Cour fait globalement droit aux honoraires demandés, qui ne prêtent pas le flanc à la critique, étant précisé que la vacation à la prison de Bellechasse sera indemnisée conformément à l’art. 77 al. 1 RJ. Par conséquent, l’indemnité du défenseur d’office, pour la procédure d’appel, est fixée à CHF 1'672.60, TVA par CHF 119.60 comprise. Le détail du calcul est joint en annexe. (dispositif en page suivante)</w:t>
      </w:r>
    </w:p>
    <w:p>
      <w:r>
        <w:t>Tribunal cantonal TC Page 7 de 7 la Cour arrête : I. L’appel est admis. Partant, le ch. 4.ii. du dispositif du jugement rendu par le Juge de police de l’arrondissement de la Sarine le 26 février 2019 est réformé et prend désormais la teneur suivante : 4.i. inchangé. ii. ne révoque pas le sursis octroyé le 28 janvier 2015 par le Ministère public du canton de Bâle-Ville. II. Les frais d'appel, par CHF 1’100.- (émolument: CHF 1’000.-; débours: CHF 100.-), sont mis à la charge de l'Etat. III. L'indemnité de défenseur d'office de Me Bernard Loup pour la procédure d'appel est arrêtée à CHF 1'672.60, TVA par CHF 119.60 comprise.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26 juin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