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39 vom 9. Mai 2019</w:t>
      </w:r>
    </w:p>
    <w:p>
      <w:r>
        <w:t>FR Kantonsgericht, 2019-05-09, DE</w:t>
      </w:r>
    </w:p>
    <w:p>
      <w:r>
        <w:rPr>
          <w:b/>
        </w:rPr>
        <w:t xml:space="preserve">Quelle: </w:t>
      </w:r>
      <w:r>
        <w:t>https://mcp.opencaselaw.ch/entscheid/fr_gerichte_501_2019_39</w:t>
      </w:r>
    </w:p>
    <w:p>
      <w:r>
        <w:t>FR: FR_GERICHTE 501 2019 39 du 9 mai 2019</w:t>
      </w:r>
    </w:p>
    <w:p>
      <w:r>
        <w:t>IT: FR_GERICHTE 501 2019 39 del 9 maggio 2019</w:t>
      </w:r>
    </w:p>
    <w:p>
      <w:pPr>
        <w:pStyle w:val="Heading2"/>
      </w:pPr>
      <w:r>
        <w:t>Regeste</w:t>
      </w:r>
    </w:p>
    <w:p>
      <w:r>
        <w:t>Arrêt de la Cour d'appel pénal du Tribunal cantonal | Revision (Art. 410 à 415 StPO)</w:t>
      </w:r>
    </w:p>
    <w:p>
      <w:pPr>
        <w:pStyle w:val="Heading2"/>
      </w:pPr>
      <w:r>
        <w:t>Erwägungen</w:t>
      </w:r>
    </w:p>
    <w:p>
      <w:r>
        <w:rPr>
          <w:b/>
        </w:rPr>
        <w:t>E. 1.1</w:t>
      </w:r>
    </w:p>
    <w:p>
      <w:r>
        <w:t>En application de l'art. 21 al. 1 let. b CPP en relation avec l'art. 85 al. 2 de la loi sur la justice (LJ;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w:t>
      </w:r>
    </w:p>
    <w:p>
      <w:r>
        <w:rPr>
          <w:b/>
        </w:rPr>
        <w:t>E. 1.2</w:t>
      </w:r>
    </w:p>
    <w:p>
      <w:r>
        <w:t>La qualité de partie permettant de demander la révision n'est pas limitée au prévenu. Toute partie qui a un intérêt juridiquement protégé peut la demander, qu'il s'agisse de la partie plaignante, du tiers séquestré ou de toute autre partie ayant participé au jugement contesté (cf. art. 410 al. 1 et 382 al. 1 CPP; MOREILLON/PAREIN-REYMOND, PC CPP, 2ème éd., 2016, art. 410 n. 12). Or, en l'espèce, l'on ne discerne pas en quoi A.________, quand bien même elle est preneuse du leasing du véhicule conduit par son fils, a un intérêt à demander la révision de l'ordonnance pénale prononcée à l'encontre de ce dernier, n'étant pas directement touchée par l'infraction et n'ayant de surcroît pas participé à la procédure. Partant, elle n'a pas la qualité pour agir. Il s'ensuit Tribunal cantonal TC Page 3 de 5 l'irrecevabilité de la demande de révision en tant qu'elle est introduite par A.________. En revanche, B.________, en tant qu'il est directement atteint par l'ordonnance litigieuse le condamnant, est légitimé à introduire une demande de révision.</w:t>
      </w:r>
    </w:p>
    <w:p>
      <w:r>
        <w:rPr>
          <w:b/>
        </w:rPr>
        <w:t>E. 1.3</w:t>
      </w:r>
    </w:p>
    <w:p>
      <w:r>
        <w:t>La Cour d'appel pénal peut rendre sa décision en procédure écrite (art. 390 al. 4 CPP).</w:t>
      </w:r>
    </w:p>
    <w:p>
      <w:r>
        <w:rPr>
          <w:b/>
        </w:rPr>
        <w:t>E. 1.4</w:t>
      </w:r>
    </w:p>
    <w:p>
      <w:r>
        <w:t>Une ordonnance pénale entrée en force peut faire l'objet d'une révision (art. 410 al. 1 CPP). Une ordonnance pénale entre en force notamment lorsque le délai d'opposition de 10 jours, qui court dès la notification, s'écoule sans qu'il en soit fait usage (art. 437 al. 1 let. a et 354 CPP), ce qui est le cas en l'espèce, B.________ ne contestant pas, dans sa prise de position du 12 mars 2019, l'absence d'opposition à l'ordonnance, s'étant de surcroît acquitté de l'amende et des frais, comme indiqué par le Lieutenant de préfet dans son courrier du 19 février 2019.</w:t>
      </w:r>
    </w:p>
    <w:p>
      <w:r>
        <w:rPr>
          <w:b/>
        </w:rPr>
        <w:t>E. 2.1</w:t>
      </w:r>
    </w:p>
    <w:p>
      <w:r>
        <w:t>Les motifs de révision sont énumérés exhaustivement à l'art. 410 CPP. La révision peut notamment être demandée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w:t>
      </w:r>
    </w:p>
    <w:p>
      <w:r>
        <w:rPr>
          <w:b/>
        </w:rPr>
        <w:t>E. 2.2</w:t>
      </w:r>
    </w:p>
    <w:p>
      <w:r>
        <w:t>Conformément à l'art. 411 al. 1 CPP, la demande de révision doit contenir des conclusions, une motivation indiquant les causes de révision et tous les faits et moyens de preuves sur lesquels elle se fonde (BSK StPo-HEER,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(arrêts TF 6B_350/2017 du 6 novembre 2017 consid. 1.2.2 et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(arrêt TF 1B_529/2011 du 7 novembre 2011 consid. 2).</w:t>
      </w:r>
    </w:p>
    <w:p>
      <w:r>
        <w:rPr>
          <w:b/>
        </w:rPr>
        <w:t>E. 2.3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Celui qui invoque, à l'appui d'une demande de révision, un moyen de preuve qui existait déjà au moment de la procédure de condamnation et dont il avait connaissance doit justifier de manière détaillée de son abstention de produire le Tribunal cantonal TC Page 4 de 5 moyen de preuve lors du jugement de condamnation. A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(arrêts TF 6B_947/2017 du 14 février 2018 consid. 1.3 et 6B_866/2014 du 26 février 2015 consid. 1.2).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preuves importants que le condamné ne connaissait pas au moment du prononcé de l'ordonnance ou dont il ne pouvait pas se prévaloir ou n'avait pas de raisons de se prévaloir à cette époque (cf. ATF 130 IV 72 consid. 2.3; arrêt TF 6B_96/2016 du 19 janvier 2017 consid. 1.3).</w:t>
      </w:r>
    </w:p>
    <w:p>
      <w:r>
        <w:rPr>
          <w:b/>
        </w:rPr>
        <w:t>E. 2.4</w:t>
      </w:r>
    </w:p>
    <w:p>
      <w:r>
        <w:t>En l'espèce, le demandeur a pris acte de sa condamnation et en a accepté le principe. Il n'a pas formé opposition à l'ordonnance qui lui a été notifiée et s'est au demeurant acquitté de l'amende et des frais y relatifs. A l'appui de sa révision, il présente comme fait nouveau une quittance de stockage du garage établie le 17 décembre 2018 indiquant que la profondeur du profil des pneus est de 1.6 mm (annexe 1). Outre le fait que ce document n'atteste pas de la conformité des pneus en question aux exigences légales, le demandeur n'expose pas pour quelle raison il n'a pas fait valoir un tel moyen de preuve au cours de la procédure ordinaire d'opposition et on ne perçoit aucun motif à son abstention. La révision n'est pas prévue pour permettre à un justiciable de revenir selon son bon vouloir sur son choix passé de ne pas former opposition à une ordonnance pénale. Il incombait à B.________ de contester à l'époque sa condamnation, au besoin en demandant à son garagiste, à l'Office de la circulation et de la navigation (OCN) ou encore à une entreprise tierce d'examiner la profondeur du profil de ses pneus au moyen d'un appareil de mesure. En l'absence de fait nouveau, la demande apparaît clairement comme un moyen de contourner la voie de droit ordinaire. Elle doit être qualifiée d'abusive, de sorte qu'il n'y a pas lieu d'entrer en matière.</w:t>
      </w:r>
    </w:p>
    <w:p>
      <w:r>
        <w:rPr>
          <w:b/>
        </w:rPr>
        <w:t>E. 3</w:t>
      </w:r>
    </w:p>
    <w:p>
      <w:r>
        <w:t>Vu l'issue de la cause, les frais judiciaires, arrêtés à CHF 500.- (émolument: CHF 450.-; débours: CHF 50.-), sont mis à la charge des demandeurs solidairement entre eux, qui succombent (art. 428 al. 1 CPP). Il n'y a pas matière à indemnité. (dispositif en page suivante) Tribunal cantonal TC Page 5 de 5 la Cour arrête : I. La demande de révision déposée le 28 février 2019 tendant à la révision de l'ordonnance pénale du Préfet du district de la Sarine du 9 novembre 2018, en tant qu'elle l'a été par A.________, est irrecevable. En tant qu'elle a été formulée par B.________, il n'est pas entré en matière sur la demande de révision. II. Les frais, par CHF 500.- (émolument: CHF 450.-; débours: CHF 50.-), sont mis à la charge de A.________ et de B.________ solidairement entre eux.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mai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