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143 vom 8. Juli 2021</w:t>
      </w:r>
    </w:p>
    <w:p>
      <w:r>
        <w:t>FR Kantonsgericht, 2021-07-08, DE</w:t>
      </w:r>
    </w:p>
    <w:p>
      <w:r>
        <w:rPr>
          <w:b/>
        </w:rPr>
        <w:t xml:space="preserve">Quelle: </w:t>
      </w:r>
      <w:r>
        <w:t>https://mcp.opencaselaw.ch/entscheid/fr_gerichte_501_2019_143</w:t>
      </w:r>
    </w:p>
    <w:p>
      <w:r>
        <w:t>FR: FR_GERICHTE 501 2019 143 du 8 juillet 2021</w:t>
      </w:r>
    </w:p>
    <w:p>
      <w:r>
        <w:t>IT: FR_GERICHTE 501 2019 143 del 8 luglio 2021</w:t>
      </w:r>
    </w:p>
    <w:p>
      <w:pPr>
        <w:pStyle w:val="Heading2"/>
      </w:pPr>
      <w:r>
        <w:t>Regeste</w:t>
      </w:r>
    </w:p>
    <w:p>
      <w:r>
        <w:t>Urteil des Strafappellationshofs des Kantonsgerichts | Strafrecht</w:t>
      </w:r>
    </w:p>
    <w:p>
      <w:pPr>
        <w:pStyle w:val="Heading2"/>
      </w:pPr>
      <w:r>
        <w:t>Erwägungen</w:t>
      </w:r>
    </w:p>
    <w:p>
      <w:r>
        <w:rPr>
          <w:b/>
        </w:rPr>
        <w:t>E. 1.1</w:t>
      </w:r>
    </w:p>
    <w:p>
      <w:r>
        <w:t>vom Vorwurf der qualifizierten ungetreuen Geschäftsbesorgung für den Zeitraum ab Januar 2014 (Art. 158 Ziffer 1 Abs. 1 i.V.m. Abs. 3 aStGB).</w:t>
      </w:r>
    </w:p>
    <w:p>
      <w:r>
        <w:rPr>
          <w:b/>
        </w:rPr>
        <w:t>E. 1.2</w:t>
      </w:r>
    </w:p>
    <w:p>
      <w:r>
        <w:t>vom Vorwurf der qualifizierten ungetreuen Geschäftsbesorgung bezüglich Auftrag 012-0153 (I.________) und Angebot 012-0121 (J.________; beide Anklageschrift S. 6, drittes und viertes Lemma). C. Zivilbegehren 1. Auf das Klagebegehren 1, wonach A.________ zu verpflichten sei, der Privat- und Zivilklägerin CHF 143’000.- zzgl. Zins zu 5 % seit dem 1. Juli 2012 (Gewinnbeteiligung 2012) zu bezahlen, wird nicht eingetreten. 2. Auf das Feststellungsbegehren, wonach die Forderung des Klägers aus Arbeitsvertrag auf eine Gewinnbeteiligung für das Jahr 2013 nicht bestehe, wird nicht eingetreten. 3. Das Klagebegehren 3, wonach die Beschuldigten solidarisch zu verpflichten seien, der C.________ GmbH Schadenersatz in der Höhe von CHF 192'272.55 zzgl. Zins zu 5 % seit dem 31. Dezember 2013 zu bezahlen, wird auf den Zivilweg verwiesen, sofern darauf eingetreten werden kann. E. Weitere Verfügungen 1. Die gemäss der Durchsuchungs- und Sicherstellungsprotokolle vom 5. März 2015 beschlagnahmten Gegenstände (H.________ GmbH, Referenz 1 – 5; G.________ GmbH, Referenz 6 – 9; V.________, Referenz 1) werden nach Eintritt der Rechtskraft den Beschuldigten zurückerstattet. Werden die vorerwähnten Gegenstände nicht innert 30 Tagen nach Rechtskraft des Urteils von den Beschuldigten abgeholt, werden diese vernichtet.</w:t>
      </w:r>
    </w:p>
    <w:p>
      <w:r>
        <w:t>Kantonsgericht KG Seite 16 von 16 IV. Die Kosten des Berufungsverfahrens werden auf CHF 4‘400.- festgesetzt (Gerichtsgebühr: CHF 4‘000.-; Auslagen: CHF 400.-). Sie werden dem Staat Freiburg auferlegt. V. A.________ wird eine Entschädigung gemäss Art. 429 StPO im Betrag von CHF 14’200.25 (inkl. MwSt. von CHF 1'015.25) zu Lasten des Staates Freiburg zugesprochen (Art. 429 und 436 StPO). VI. B.________ wird eine Entschädigung gemäss Art. 429 StPO im Betrag von CHF 8'642.90 (inkl. MwSt. von CHF 617.90) zu Lasten des Staates Freiburg zugesprochen (Art. 429 und 436 StPO). VII.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8. Juli 2021 Der Vizepräsident: Die Gerichtsschreiberin:</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 Anlässlich der Berufungsverhandlung beantragte Rechtsanwalt Wohlhauser erneut, es seien sämt- liche Angebote, Auftragsbestätigungen, Offerten und Rechnungen der Jahre 2012-2013 der Privat- klägerin zu edieren. Rechtsanwalt Clerc stellte daraufhin den Beweisantrag, die Privatklägerin habe die genannten Unterlagen für den Zeitraum von 2010-2015 zu edieren. Der Strafappellationshof wies die Beweisanträge aus nachfolgenden Gründen ab. Gemäss ständi- ger bundesgerichtlicher Rechtsprechung kann das Gericht in antizipierter Beweiswürdigung auf die Abnahme von Beweisen verzichten, wenn es aufgrund bereits abgenommener Beweise seine Überzeugung gebildet hat und ohne Willkür annehmen kann, diese werde durch weitere Beweiser- hebungen nicht geändert (Art. 139 Abs. 2 StPO; Urteil BGer 6B_708/2019 vom 12. November 2019 E. 4.4 mit Hinweisen). Die Edition der beantragten Unterlagen mag allenfalls zur definitiven Klärung der Frage des Geschäftsbereichs bzw. des Kerngeschäfts der Privatklägerin beitragen, wobei diese Frage nicht zentral und soweit nötig bereits geklärt ist. Demgegenüber vermag die Edition der Unterlagen nicht zur Klärung der massgeblichen Frage, nämlich was die Parteien am 3. April 2012 vereinbart haben, beitragen, weshalb sich dieser doch beachtliche Aufwand nicht als zielführend erweist. Aus diesem Grund sind die entsprechenden Beweisanträge abzuweisen. Nachdem vorliegend die anlässlich der Verhandlung gestellten Beweisanträge abgelehnt wurden, kann sich der Strafappellationshof auf die Einvernahme der Berufungsführer und des Geschäfts- führers der Privatklägerin sowie den Beizug der Akten beschränken.</w:t>
      </w:r>
    </w:p>
    <w:p>
      <w:r>
        <w:rPr>
          <w:b/>
        </w:rPr>
        <w:t>E. 1.4</w:t>
      </w:r>
    </w:p>
    <w:p>
      <w:r>
        <w:t>Die beiden Berufungen betreffen den gleichen Lebenssachverhalt und dieselben Rechtsfra- gen, so dass es sich rechtfertigt, die Verfahren 501 2019 143 und 501 2019 146 zu vereinigen.</w:t>
      </w:r>
    </w:p>
    <w:p>
      <w:r>
        <w:rPr>
          <w:b/>
        </w:rPr>
        <w:t>E. 2.1</w:t>
      </w:r>
    </w:p>
    <w:p>
      <w:r>
        <w:t>vom Vorwurf der mehrfach begangenen Gehilfenschaft zur qualifizierten ungetreuen Geschäftsbesorgung für den Zeitraum von 2012 bis 2013 zum Nachteil der C.________ GmbH (Art. 158 Ziffer 1 Abs. 1 und Abs. 3 StGB i.V.m. Art. 25 und 26 StGB).</w:t>
      </w:r>
    </w:p>
    <w:p>
      <w:r>
        <w:rPr>
          <w:b/>
        </w:rPr>
        <w:t>E. 2.2</w:t>
      </w:r>
    </w:p>
    <w:p>
      <w:r>
        <w:t>vom Vorwurf der mehrfachen Gehilfenschaft zur versuchten qualifizierten ungetreuen Geschäftsbesorgung für den Zeitraum von 2012 bis 2013 zum Nachteil der C.________ GmbH (Art. 158 Ziffer 1 Abs. 1 und Abs. 3 i.V.m. Art. 22, 25 und 26 StGB). 3. [aufgehoben] D. Verfahrenskosten und Entschädigungen 1. Die Verfahrenskosten in der Höhe von insgesamt CHF 18’320.05 werden vollumfänglich dem Staat Freiburg auferlegt (Gebühren: 10'000.-; Auslagen Staatsanwaltschaft CHF 8'025.05; Auslagen Gericht CHF 295.-) (Art. 422 und 426 Abs. 1 StPO). 2. Das Entschädigungsbegehren der C.________ GmbH wird abgewiesen (Art. 433 StPO).</w:t>
      </w:r>
    </w:p>
    <w:p>
      <w:r>
        <w:t>Kantonsgericht KG Seite 15 von 16 3. A.________ und B.________ wird eine Entschädigung gemäss Art. 429 StPO im Betrag von CHF 42'485.65 (inkl. MwSt. von CHF 3'110.65) zu Lasten des Staates Freiburg zugesprochen. III. Das Urteil des Wirtschaftsstrafgerichts vom 30. April 2019 ist in den übrigen Ziffern in Rechtskraft erwachsen. Sie haben folgenden Wortlaut: A. A.________ 1. A.________ wird freigesprochen:</w:t>
      </w:r>
    </w:p>
    <w:p>
      <w:r>
        <w:rPr>
          <w:b/>
        </w:rPr>
        <w:t>E. 2.3</w:t>
      </w:r>
    </w:p>
    <w:p>
      <w:r>
        <w:t>vom Vorwurf der Widerhandlung gegen das Bundesgesetz gegen den unlauteren Wettbewerb im Sinne von Art. 23 i.V.m. Art. 5 lit. a UWG. 3. [aufgehoben] B. B.________ 2. B.________ wird freigesprochen:</w:t>
      </w:r>
    </w:p>
    <w:p>
      <w:r>
        <w:rPr>
          <w:b/>
        </w:rPr>
        <w:t>E. 3</w:t>
      </w:r>
    </w:p>
    <w:p>
      <w:r>
        <w:t>Die Berufungsführer machen eine unvollstände und unrichtige Feststellung des Sachverhalts durch die Vorinstanz (Art. 398 Abs. 3 Bst. a StPO) und eine Verletzung der Unschuldsvermutung geltend.</w:t>
      </w:r>
    </w:p>
    <w:p>
      <w:r>
        <w:rPr>
          <w:b/>
        </w:rPr>
        <w:t>E. 3.1</w:t>
      </w:r>
    </w:p>
    <w:p>
      <w:r>
        <w:t>Die von Art. 10 StPO, Art. 32 Abs. 1 BV, Art. 14 Abs. 2 Uno-Pakt II und Art. 6 Abs. 2 EMRK garantierte Unschuldsvermutung sowie als ihre direkte Folge der Grundsatz „in dubio pro reo“ betreffen sowohl die Beweislast als auch die Beweiswürdigung im weiten Sinne. Als Beweislastre- gel bedeutet sie im Urteilsstadium, dass die Beweislast der Anklage obliegt und das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bestehen, die jederzeit möglich sind, da eine absolute Sicherheit nicht verlangt werden kann. Es</w:t>
      </w:r>
    </w:p>
    <w:p>
      <w:r>
        <w:t>Kantonsgericht KG Seite 8 von 16 muss sich um ernsthafte und unüberwindbare Zweifel handeln, das heisst Zweifel, die sich aufgrund der objektiven Sachlage aufzwingen. Werden die Beweiswürdigung und die Sachver- haltsfeststellung in Bezug auf den Grundsatz „in dubio pro reo“ kritisiert, weist dieser keine weitere Tragweite als das Willkürverbot auf (vgl. BGE 145 IV 154 E. 1.1 mit Hinweisen, in Pra 108 (2019) Nr. 139). Nach Art. 10 Abs. 2 StPO würdigt das Gericht die Beweise frei nach seiner aus dem gesamten Verfahren gewonnenen Überzeugung. Die Organe der Strafrechtspflege sollen frei von Beweisre- geln und nur nach ihrer persönlichen Überzeugung aufgrund gewissenhafter Prüfung der vorlie- genden Beweise darüber entscheiden, ob sie eine Tatsache für bewiesen halten.</w:t>
      </w:r>
    </w:p>
    <w:p>
      <w:r>
        <w:rPr>
          <w:b/>
        </w:rPr>
        <w:t>E. 3.2</w:t>
      </w:r>
    </w:p>
    <w:p>
      <w:r>
        <w:t>Vorwurf der qualifizierten ungetreuen Geschäftsbesorgung und Versuch dazu durch A.________ Was die Würdigung des Sachverhalts bezüglich der qualifizierten ungetreuen Geschäftsbesorgung und des Versuchs dazu betreffend A.________ anbelangt, so stellt der Strafappellationshof fest, dass das Wirtschaftsstrafgericht die eingeklagten Geschäftsfälle genauestens und akribisch unter- sucht und überprüft hat, ob diese unter das vereinbarte Konkurrenzverbot fallen. Hinsichtlich der Vereinbarung vom 3. April 2012 kam das Wirtschaftsstrafgericht zum Schluss, dass dem Beru- fungsführer im Sinne einer Ausnahmebewilligung lediglich der Vertrieb von Notheizungen gestattet gewesen sei und sämtliche weiterreichende Interpretationen als nachgeschobene Schutzbehaup- tungen zu werten seien (angefochtenes Urteil E. B 6. S. 21 f.). Diese Schlussfolgerung greift angesichts der vorhandenen Beweise zu kurz. Was die anlässlich des Gesprächs vom 3. April 2012 in E.________ zwischen A.________ und O.________ getroffe- ne Vereinbarung angeht, steht Aussage gegen Aussage. A.________ stützt sich auf den Stand- punkt, O.________ habe ihm lediglich gesagt, er dürfe keine Übergabestationen verkaufen, alles andere sei ihm aber egal. Demgegenüber sagt O.________ aus, er habe A.________ nur die Vermietung von Notheizungen erlaubt, da diese ergänzende Dienstleistung für die C.________ ebenfalls profitabel hätte sein können. Weitere Zugeständnisse für eine konkurrenzierende Tätig- keit durch einen Mitarbeiter habe er nicht gemacht. Ein materieller Beweis für die eine oder andere Version des Gesprächverlaufs und damit auch den Inhalt der Vereinbarung liegt nicht vor. Das Resultat der Besprechung wurde nicht schriftlich fest- gehalten, was doch erstaunt und die Frage aufwirft, wem dieser Umstand und die Ungewissheit letztlich mehr dient. Eine Rückweisung der Angelegenheit oder eine nachträgliche Erhebung von bisher nicht erhobenen Beweisen im jetzigen Stadium des Verfahrens ist teils nicht mehr möglich bzw. würde nichts mehr bringen, da die Vorfälle bald 10 Jahre zurückliegen und das Umfeld der Parteien und allfällige Zeugen in der Zwischenzeit beeinflusst sein könnten und keine authenti- schen Aussagen mehr machen könnten. Die Glaubhaftigkeit der Aussagen muss sowohl in Bezug auf A.________ wie auch O.________ in Frage gestellt werden. Es ist festzustellen, dass deren Aussagen nicht immer konstant und gleich- lautend waren. Es fällt denn auch auf, dass O.________ gemäss seinen letzten Aussagen bereits seit der zweiten Januarhälfte 2014 über die konkurrenzierende Tätigkeit der H.________ GmbH Bescheid wusste, aber erst Ende November 2014 Strafklage eingereicht und diese Tätigkeit somit mehr als ein Dreivierteljahr geduldet wurde. Im Übrigen wurde A.________ bereits am 13. April 2012 als Geschäftsführer der H.________ GmbH ins Handelsregister eingetragen, womit seine Stellung innerhalb dieser Gesellschaft aufgrund der Publizitätswirkung des Handelsregisters ab diesem Zeitpunkt als bekannt gegolten hat.</w:t>
      </w:r>
    </w:p>
    <w:p>
      <w:r>
        <w:t>Kantonsgericht KG Seite 9 von 16 In der Strafklage vom 24. November 2014 führte die C.________ aus, A.________ sei es nur gestattet gewesen, Notheizungen zu offerieren, nicht Übergabestationen, das Kerngeschäft der C.________ (act. 2015). Dies spricht weder klar für die eine noch die andere Version des Gesprächsinhalts bzw. der mündlichen Vereinbarung vom 3. April 2012. Es ist lediglich unbestrit- ten, dass dem Berufungsführer der Vertrieb von Übergabestationen verboten war, was von diesem auch anerkannt wird. Er ersuchte denn auch mit E-Mail vom 22. Juni 2013 bei O.________ darum, einen Handelsvertretervertrag für den Vertrieb von Übergabestationen in bestimmten Kantonen der Schweiz abzuschliessen. Dass er für eine solche Vereinbarung den Schriftweg wählen wollte, zeigt auch, dass er sich über das Verbot im Zusammenhang mit Übergabestationen bewusst war. Auf der Grundlage der vorhandenen Beweismittel erscheint es zumindest plausibel, dass dem Beru- fungsführer gestützt auf das Gespräch vom 3. April 2012 lediglich der Vertrieb von Übergabestatio- nen explizit verboten war. Da die C.________ nicht selber Produkte herstellt, sondern Handelswa- re vertreibt und Service und Dienstleistungen anbietet, bestünde aber so oder anders eine gewisse konkurrenzierende Tätigkeit zwischen den beiden Firmen. Dem Gesagten zu Folge bestehen keine gesicherten Elemente, die den Inhalt der mündlichen Vereinbarung vom 3. April 2012 zweifelsfrei belegen würden. Da auch die Aussagen von O.________ teilweise unglaubhaft sind oder zumindest nicht stringent erscheinen, kann das Gericht eine Verurteilung nicht alleine darauf abstützen. Dass es sich bei der Aussage des Beru- fungsführers wie vom Wirtschaftsstrafgericht erwähnt um eine reine Schutzbehauptung handelt, ist für den Strafappellationshof nicht erstellt. Hinsichtlich der mündlich getroffenen Vereinbarung bestehen demnach ernsthafte und unüberwindbare Zweifel, weshalb in Anwendung des Grundsat- zes in dubio pro reo von der für den Berufungsführer günstigeren Version des Sachverhalts auszu- gehen ist.</w:t>
      </w:r>
    </w:p>
    <w:p>
      <w:r>
        <w:rPr>
          <w:b/>
        </w:rPr>
        <w:t>E. 3.3</w:t>
      </w:r>
    </w:p>
    <w:p>
      <w:r>
        <w:t>Selbst wenn davon ausgegangen würde, dass es dem Berufungsführer nur erlaubt war, Notheizungen zu vermieten, würde es am Vorliegen eines objektiven Tatbestandsmerkmals fehlen. Nach Art. 158 Ziff. 1 Abs. 1 StGB macht sich der ungetreuen Geschäftsbesorgung schuldig, wer aufgrund des Gesetzes, eines behördlichen Auftrages oder eines Rechtsgeschäfts damit betraut ist, Vermögen eines andern zu verwalten oder eine solche Vermögensverwaltung zu beaufsichti- gen, und dabei unter Verletzung seiner Pflichten bewirkt oder zulässt, dass der andere am Vermö- 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 Der Tatbestand der ungetreuen Geschäftsbesorgung erfordert als Verletzungsdelikt einen Vermö- gensschaden. Ob ein solcher vorliegt, beurteilt sich nach denselben Massstäben wie beim Tatbe- stand des Betrugs. Ein Vermögensschaden liegt nach der Rechtsprechung vor bei tatsächlicher Schädigung durch Verminderung der Aktiven, Vermehrung der Passiven, Nicht-Verminderung der Passiven oder Nicht-Vermehrung der Aktiven. Ein Schaden kann in einer unterbliebenen Vermö- gensvermehrung in Form eines entgangenen Gewinns liegen, sofern die Gewinnaussichten hinrei- chend konkret sind und entsprechend einen Vermögenswert aufweisen. Die Rechtsprechung bejaht dies beispielsweise bei der Übernahme von Arbeiten für einen Kunden auf eigene Rech- nung, beim Nichteinziehen von Steuern durch den Gemeindeschreiber oder beim Unterlassen von Vertragsabschlüssen. Es ist nicht erforderlich, dass der Schaden der Bereicherung des Urhebers entspricht. Ebenso wenig muss er beziffert werden. Es genügt, wenn er sicher ist (Urteil BGer 6B_140/2020 vom 3. Juni 2021 E. 3.3.2 mit Hinweisen).</w:t>
      </w:r>
    </w:p>
    <w:p>
      <w:r>
        <w:t>Kantonsgericht KG Seite 10 von 16 Im vorliegenden Fall steht ein Schaden in Form von entgangenem Gewinn wegen unterbliebener Vermögensvermehrung im Vordergrund, was bejaht werden könnte, wenn der Wert des Vermö- gens der C.________ aufgrund der nicht abgeschlossenen Verträge geringer ist als es hypothe- tisch wäre, wenn keine Verletzung einer vertraglichen Pflicht stattgefunden hätte. Dies ist der Fall, sofern die Gewinnaussichten der C.________ so hinreichend konkretisiert waren, dass ihnen ein wirtschaftlicher Wert zukommt. Nun fehlt es aber eben gerade an dieser hinreichend konkretisier- ten Gewinnaussicht. In den Akten finden sich keinerlei überprüfbare Hinweise, geschweige denn Belege oder sonstige Beweise dafür, dass die Kunden den Vertrag mit der C.________ abge- schlossen hätten, wenn es die Offerten der H.________ GmbH nicht auch gegeben hätte. Mangels entsprechender Erhebungen und Einvernahmen von Vertragspartnern sind die damals offerierten Preise und Konditionen nicht bekannt. Die Unterschiede in den Offerten können heute nicht mehr rekonstruiert werden. Auch kann nicht mehr eruiert werden, weshalb gewisse Verträge schliesslich mit der H.________ GmbH und nicht mit der C.________ abgeschlossen wurden. Zudem gab es Fälle, bei welchen die Vertragsabschlüsse weder mit der einen noch mit der anderen Firma getä- tigt wurden, ohne dass die Gründe dafür ermittelt worden wären und bekannt sind. Dass das Vermögen der C.________ ohne eine allfällige Verletzung zugenommen hätte oder den Verträgen bereits ein wirtschaftlicher Wert im Sinne von konkreten Gewinnaussichten zugekommen wäre, ist somit nicht rechtsgenüglich belegt.</w:t>
      </w:r>
    </w:p>
    <w:p>
      <w:r>
        <w:rPr>
          <w:b/>
        </w:rPr>
        <w:t>E. 3.4</w:t>
      </w:r>
    </w:p>
    <w:p>
      <w:r>
        <w:t>Nach Würdigung dieser Umstände ist die Berufung des Berufungsführers in diesem Punkt gutzuheissen und der Berufungsführer in dubio pro reo vom Vorwurf der qualifizierten ungetreuen Geschäftsbesorgung bzw. des Versuchs dazu freizusprechen.</w:t>
      </w:r>
    </w:p>
    <w:p>
      <w:r>
        <w:rPr>
          <w:b/>
        </w:rPr>
        <w:t>E. 3.5</w:t>
      </w:r>
    </w:p>
    <w:p>
      <w:r>
        <w:t>Vorwurf des unlauteren Wettbewerbs durch A.________ Das Wirtschaftsstrafgericht erachtete den überwiesenen Sachverhalt als grundsätzlich erstellt, stellte aber fest, dass die Skizze nicht 1 zu 1 bzw. auf den Millimeter genau identisch ist, sondern vor der Übermittlung an die S.________ AG überarbeitet und vervollständigt worden ist. Es erwog, die Darstellung von A.________, wonach die Skizze bereits im Jahr 2010 oder 2011 erstellt und der T.________ anlässlich einer Offertenstellung zugestellt worden sei, sei nicht nachvollziehbar, da es dem Berufungsführer nicht gelinge, schlüssig aufzuzeigen, wie die Skizze über die T.________ schliesslich zur G.________ hätte gelangen sollen, insbesondere da sie ja erst im Jahr 2012 erstellt worden sei (angefochtenes Urteil E. F. 2.1 f. S. 55 f.). Anlässlich der Sitzung vor dem Strafappellationshof wiederholte A.________ seine Aussage, wonach er die Skizze im Jahre 2010 der T.________ übermittelt hat, um ein Angebot einzuholen. Die T.________ habe die Skizze dann später der G.________ geschickt, von wo sie weitergegan- gen sei an den Interessenten. Bei dieser Übermittlung von der T.________ zur G.________ bzw. zum Interessenten habe er die Skizze nicht gesehen (Protokoll vom 8. Juli 2021 S. 7 und 13). O.________ bestätigte, dass er die Skizze wohl vor 2012 erstellt hatte (Protokoll vom 8. Juli 2021 S. 12). Das Wirtschaftsstrafgericht hat in diesem Zusammenhang festgehalten, U.________ habe auf Nachfrage von O.________ im E-Mail vom 23. September 2014 präzisiert, dass es sich um eine von A.________ über die G.________ zugestellte Offerte handle. Aus den Akten geht hingegen hervor, dass U.________ am 23. September 2014 antwortete, die E-Mail mit der Konkurrenzversi- on sei nicht direkt von A.________, sondern von der G.________ gekommen (act. 2041). Auf Nachfrage von O.________, ob er also die Offerte von der G.________ gehabt und mit A.________ verhandelt habe, antwortete U.________, ursprünglich habe A.________ seine</w:t>
      </w:r>
    </w:p>
    <w:p>
      <w:r>
        <w:t>Kantonsgericht KG Seite 11 von 16 Dienstleistungen für das Projekt angeboten, aber die G.________ schon früh erwähnt. Schon beim Detailgespräch zum Projekt-Lieferumfang seien Vertreter der G.________ dabei gewesen. Schliesslich habe er die Angebote von der G.________ erhalten. Da der Entwurf ohne Zeich- nungskopf geliefert worden sei, könne er nicht mit Sicherheit sagen, woher die Zeichnung stamme (act. 2040). In Übereinstimmung mit dem Wirtschaftsstrafgericht muss weiter festgestellt werden, dass die Skizzen nicht 1 zu 1 identisch sind und die von der G.________ zugestellte Skizze ergänzt und abgeändert wurde (act. 2044 ff.). Aus den sich in den Akten befindlichen Offerten der G.________ geht hervor, dass diese das Zeichen eines gewissen M.________ trägt (vgl. Ordner 29). Auch die Strafklage vom 24. Novem- ber 2014 erwähnt G.________-Gesellschafter und G.________-Verkaufsmitarbeiter (act. 2016). Dies passt zudem zur Aussage von U.________, es seien Vertreter der G.________ dabei gewe- sen (act. 2040). Es muss somit festgestellt werden, dass offenbar auch andere Personen als A.________ für die G.________ gearbeitet und Offerten ausgearbeitet und zum Versand vorberei- tet und allenfalls auch versendet haben. Folglich bestehen ernsthafte Zweifel daran, dass die streitgegenständliche Skizze direkt von A.________ oder mit dessen Wissen weiterverarbeitet und dem Interessenten zugestellt worden ist. Die Berufung des Berufungsführers ist daher auch in diesem Punkt gutzuheissen und dieser ist in dubio pro reo vom Vorwurf des unlauteren Wettbewerbs freizusprechen.</w:t>
      </w:r>
    </w:p>
    <w:p>
      <w:r>
        <w:rPr>
          <w:b/>
        </w:rPr>
        <w:t>E. 3.6</w:t>
      </w:r>
    </w:p>
    <w:p>
      <w:r>
        <w:t>Vorwurf der Gehilfenschaft zur qualifizierten ungetreuen Geschäftsbesorgung und Versuch dazu durch B.________ Gehilfe ist, wer zu einem Verbrechen oder Vergehen vorsätzlich Hilfe leistet (Art. 25 StGB). Die Gehilfenschaft charakterisiert sich als eine akzessorische Teilnahmeform in dem Sinne, dass die Erfüllung des Tatbestandes an sich nicht auf der Handlung, die der Komplize selber begeht, sondern im Gegenteil auf dem typischen und unrechtmässigen Charakter des Verhaltens des Haupttäters beruht. Die Gehilfenschaft stellt somit nicht eine selbständige Straftat dar und versteht sich nur in Zusammenhang mit einem sich aus dem Strafgesetz oder einem anderen Bundesge- setz ergebenden Straftatbestand. In diesem Sinne ergibt sich die Unrechtmässigkeit der Teilnah- mehandlung aus der Unrechtmässigkeit der Haupttat, was der Grund ist, dass in diesem Zusam- menhang der Begriff der Akzessorietät erwähnt wird (vgl. BGE 144 IV 265 E. 2.3.2 in Pra 108 [2019 ] Nr. 35). Aufgrund des in Bezug auf ihren Ehemann ausgesprochenen Freispruchs vom Vorwurf der qualifi- zierten ungetreuen Geschäftsbesorgung und des Versuchs dazu entfällt somit mangels Vorliegen einer Straftat auch der der Berufungsführerin gemachte Vorwurf der Gehilfenschaft zu diesen Delikten. Sie ist freizusprechen und ihre Berufung somit gutzuheissen.</w:t>
      </w:r>
    </w:p>
    <w:p>
      <w:r>
        <w:rPr>
          <w:b/>
        </w:rPr>
        <w:t>E. 4</w:t>
      </w:r>
    </w:p>
    <w:p>
      <w:r>
        <w:t>Kosten und Entschädigung Gemäss Art. 426 Abs. 1 StPO trägt die beschuldigte Person die Verfahrenskosten, wenn sie verur- teilt wird. 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Fällt die Rechtsmittelinstanz selber einen neuen Entscheid, so befindet sie darin auch über die von der Vorinstanz getroffene Kostenregelung (Art. 428 Abs. 3 StPO).</w:t>
      </w:r>
    </w:p>
    <w:p>
      <w:r>
        <w:t>Kantonsgericht KG Seite 12 von 16 Die Berufungsführer werden vollumfänglich freigesprochen und obsiegen damit im oberinstanzli- chen Verfahren. Bei diesem Verfahrensausgang sind demnach die erstinstanzlichen Verfahrens- kosten von CHF 18'320.05 (Gebühren: CHF 10'000.-; Auslagen Staatsanwaltschaft: CHF 8'025.05; Auslagen Gericht: CHF 295.-) und die oberinstanzlichen Verfahrenskosten von CHF 4'400.- (Gebühren: CHF 4'000.-; Auslagen: CHF 400.-) dem Staat Freiburg aufzuerlegen.</w:t>
      </w:r>
    </w:p>
    <w:p>
      <w:r>
        <w:rPr>
          <w:b/>
        </w:rPr>
        <w:t>E. 4.2</w:t>
      </w:r>
    </w:p>
    <w:p>
      <w:r>
        <w:t>Gemäss Art. 433 Abs. StPO hat die Privatklägerschaft gegenüber der beschuldigten Person Anspruch auf eine angemessene Entschädigung für notwendige Aufwendungen im Verfah- ren, wenn sie obsiegt (Abs. 1 Bst. a). Die Privatklägerschaft hat ihre Entschädigungsforderung bei der Strafbehörde zu beantragen, zu beziffern und zu belegen (Abs. 2 Satz 1). Im vorliegenden Fall unterliegt die Privatklägerin im Strafpunkt vollumfänglich, nachdem die Beru- fungen gutgeheissen wurden. Die Privatklägerin hat deshalb keinen Anspruch auf eine angemes- sene Entschädigung für die damit zusammenhängenden Anwaltskosten und anderweitigen Ausla- gen im Berufungsverfahren. Ihre Entschädigungsbegehren für beide Verfahren müssen demnach abgewiesen werden.</w:t>
      </w:r>
    </w:p>
    <w:p>
      <w:r>
        <w:rPr>
          <w:b/>
        </w:rPr>
        <w:t>E. 4.3</w:t>
      </w:r>
    </w:p>
    <w:p>
      <w:r>
        <w:t>Wird die beschuldigte Person ganz oder teilweise freigesprochen, hat sie gemäss Art. 429 Abs. 1 Bst. a StPO Anspruch auf Entschädigung ihrer Aufwendungen für die angemessene Ausübung ihrer Verfahrensrechte. Ansprüche auf Entschädigung und Genugtuung im Rechtsmittel- verfahren richten sich nach den Artikeln 429-434 (Art. 436 Abs. 1 StPO). Gemäss Art. 75a des Justizreglements vom 30. November 2010 (JR; SGF 130.1) werden die als Parteientschädigung geschuldeten Anwaltshonorare und Anwaltsauslagen nach einem Stundenta- rif von CHF 250.- festgesetzt. In Fällen, in denen eine besondere Komplexität aufweisen oder besondere Fachkenntnisse erfordern, kann der Stundenansatz jedoch bis auf CHF 350.- angeho- ben werden. Die Kosten für Kopien, Portos und Telefonate werden pauschal auf 5% der Grundent- schädigung festgelegt (Art. 68 Abs. JR). Die Reiseentschädigungen umfassen sämtliche Kosten (Transport, Mahlzeiten usw.) sowie die aufgewendete Zeit; sie werden nach den Artikeln 76 ff. dieses Reglements festgesetzt (Art. 68 Abs. 3 JR). Die Mehrwertsteuer beträgt 8% für bis zum 31. Dezember 2017 erbrachte Leistungen und 7.7% für ab dem 1. Januar 2018 erbrachte Leistun- gen (Art. 25 Abs. 1 aMWStG in der Fassung vom 1. Juli 2016 sowie Art. 25 Abs. 1 MWStG). Für das erstinstanzliche Verfahren beantragen die Rechtsanwälte Henninger und Fivian ein Hono- rar von CHF 67'865.-, was einem Zeitaufwand von rund 194 Stunden à CHF 350.- entspricht, ohne die Dauer der erstinstanzlichen Verhandlung zu berücksichtigen. Aus der eingereichten Kostenliste ist ersichtlich, dass eine rege Korrespondenz mit der Klientschaft geführt wurde, ohne dass diese Eingang in den Akten gefunden hat, weshalb diese nur angemessen berücksichtigt werden kann. Zudem sind die Rechtsschriften ausschweifend. Gewisse Aufwendungen wurden von beiden Anwälten verrechnet, obwohl dafür auch ein Anwalt genügt hätte. Diese Aufwendungen in der Grössenordnung von sechs bis sieben Stunden können ebenfalls nicht berücksichtigt werden. Wegkosten wurden nicht geltend gemacht, weshalb solche auch nicht zu entschädigen sind. Der Fall war weder besonders komplex noch erforderte er besondere Fachkenntnisse; ein Stundenan- satz von CHF 350.- ist somit nicht gerechtfertigt. Aufgrund der Akten und unter Berücksichtigung der erwähnten Korrekturen rechtfertigt es sich, einen Gesamtaufwand von 150 Stunden à CHF 250.- zu berücksichtigen, ausmachend CHF 37'500.-, wovon rund zwei Drittel (100 Stunden) vor und ein Drittel (50 Stunden) nach dem 1. Januar 2018 anfielen. Die Entschädigung für die Auslagen beläuft sich auf CHF 1'875.- (5% von CHF 37'500.-). Insgesamt ist den Berufungsführern für das erstinstanzliche Verfahren somit eine Entschädigung von CHF 42'485.65 (Honorar:</w:t>
      </w:r>
    </w:p>
    <w:p>
      <w:r>
        <w:t>Kantonsgericht KG Seite 13 von 16 CHF 37'500.-; Auslagen: CHF 1'875.-; MwSt. vor dem 1. Januar 2018: CHF 2'100.-; MwSt. nach dem 1. Januar 2018: CHF 1'010.65) auszurichten. Hinsichtlich des Berufungsverfahrens ist einleitend zu bemerken, dass die Berufungsführer nach dem erstinstanzlichen Verfahren die Rechtsvertretung gewechselt und zwei neue Rechtsanwälte mit ihrer Verteidigung betraut haben. Die Berufungsführer haben das Recht, ihren Verteidiger frei zu wählen. Aus den Akten sind hingegen keine objektiven Gründe ersichtlich, welche für einen Anwaltswechsel sprechen oder einen solchen nötig gemacht hätten. Für das Aktenstudium, welches ohne Anwaltswechsel nicht zusätzlich angefallen wäre, wird eine Reduktion der veran- schlagten Stunden vorgenommen, da es nicht am Staat ist, solche Kosten zu tragen. Der Stunden- ansatz wird auch hier auf CHF 250.- festgesetzt. Für das Berufungsverfahren veranschlagt Rechtsanwalt Clerc ein Honorar von CHF 26’486.50, mithin einen Zeitaufwand von gut 75 Stunden à CHF 350.-. Die aufgewendete Zeit für die Vorberei- tung der Verhandlungen und für die Verhandlungen selber sowie für die Kenntnisnahme des Urteils und dessen Erklärung an den Klienten ist voll zu entschädigen. Hinzu kommen Aufwendun- gen für die Prüfung des erstinstanzlichen Urteils sowie das Aktenstudium und die Besprechung mit dem Klienten. Aufgrund der Akten und unter Berücksichtigung sämtlicher Umstände ist die einge- reichte Kostenliste ex aequo et bono zu reduzieren und es ist von einem Anwaltsaufwand von 50 Stunden auszugehen, ausmachend CHF 12'500.-. Die Entschädigung für die Auslagen beläuft sich auf CHF 625.- (5% von CHF 12'500.-) und die Reisekosten auf CHF 60.- (2 x CHF 30.-). Dem Berufungsführer ist somit eine Entschädigung von CHF 14'200.25, inkl. CHF 1'015.25 Mehrwert- steuer, zu entrichten. Rechtsanwalt Wohlhauser veranschlagt seinerseits für das Berufungsverfahren ein Honorar von CHF 26'133.15, mithin einen Zeitaufwand von ebenfalls rund 75 Stunden à CHF 350.-. Hierbei ist zu berücksichtigen, dass die Verteidigung der Berufungsführerin grösstenteils abhängig war von der Verteidigung des Berufungsführers und das Risiko bedeutend kleiner war. Angesichts der auf dem Spiel stehenden Interessen und der Strafe sowie der Tatsache, dass nur die subjektiven Tatbestandselemente wirklich von der Berufungsführerin abhängig waren, war das Studium sämtli- cher Akten nicht nötig. Die Verteidigung hätte sich grösstenteils auf das Urteil der Vorinstanz sowie die Protokolle beschränken können. Der Verteidiger hatte das erstinstanzliche Urteil zu prüfen, die Akten zu studieren, sich mit der Klientin zu besprechen, die Verhandlung vorzubereiten und dieser beizuwohnen. Er wird zudem das vorliegende Urteil zur Kenntnis nehmen und seiner Klientin erklä- ren müssen. Unter Berücksichtigung sämtlicher Umstände erscheint ein Arbeitsaufwand von 30 Stunden, ausmachend CHF 7'500.-, als angemessen. Die Entschädigung für die Ausla- gen beläuft sich auf CHF 375.- (5% von CHF 7'500.-) und die Reisekosten auf CHF 150.- (5 x CHF 30.-). Die der Berufungsführerin zugesprochene Entschädigung wird somit auf CHF 8'642.90, inkl. CHF 617.90 Mehrwertsteuer, festgesetzt. (Dispositiv auf den nachfolgenden Seiten)</w:t>
      </w:r>
    </w:p>
    <w:p>
      <w:r>
        <w:t>Kantonsgericht KG Seite 14 von 16 Der Hof erkennt: I. Die Verfahren 501 2019 143 und 501 2019 146 werden vereinigt. II. Die Berufungen werden gutgeheissen. Das Urteil des Wirtschaftsstrafgerichts vom 30. April 2019 wird in Ziffer A 2. und 3., B 2. und 3. sowie D abgeändert und hat neu folgenden Wortlaut: A. A.________ 2. A.________ wird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