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11 vom 23. September 2019</w:t>
      </w:r>
    </w:p>
    <w:p>
      <w:r>
        <w:t>FR Kantonsgericht, 2019-09-23, FR</w:t>
      </w:r>
    </w:p>
    <w:p>
      <w:r>
        <w:rPr>
          <w:b/>
        </w:rPr>
        <w:t xml:space="preserve">Quelle: </w:t>
      </w:r>
      <w:r>
        <w:t>https://mcp.opencaselaw.ch/entscheid/fr_gerichte_501_2019_11</w:t>
      </w:r>
    </w:p>
    <w:p>
      <w:r>
        <w:t>FR: FR_GERICHTE 501 2019 11 du 23 septembre 2019</w:t>
      </w:r>
    </w:p>
    <w:p>
      <w:r>
        <w:t>IT: FR_GERICHTE 501 2019 11 del 23 settembre 2019</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le verdict de culpabilité pour les infractions de lésions corporelles simples (sur un enfant), actes d’ordre sexuel avec des enfants, contrainte sexuelle et tentative de contrainte ainsi que sa condamnation à une peine privative de liberté ferme de 4 ans et demi. Il ne conteste toutefois pas la quotité de la peine à titre indépendant, mais bien comme conséquence de l’acquittement demandé, et n’a fourni, du reste, aucune motivation sur cette question. Sans fournir de motivation, il conteste également l’interdiction de contact et géographique prononcée entre A.________ et B.________ pour une durée de 5 ans selon les modalités décrites dans le jugement et l’admission des conclusions civiles de B.________. Ces points sont également contestés comme conséquence des acquittements demandés. Il conteste finalement la mise à sa charge des frais de procédure et des indemnités allouées au défenseur d’office et au mandataire juridique gratuit. Dans ces conditions, le classement du chef de prévention de voies de faits réitérées en raison de l’acquisition de la prescription, la non révocation du sursis accordé le 15 juillet 2013 par le Ministère public cantonal STRADA, à Lausanne, le refus d’allouer une indemnité au sens de l’art. 429 CPP au prévenu et le montant des indemnités du défenseur d’office et du mandataire juridique gratuit sont entrés en force (art. 399 al. 4 et 402 CPP a contrario).</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w:t>
      </w:r>
    </w:p>
    <w:p>
      <w:r>
        <w:t>Tribunal cantonal TC Page 6 de 11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et de la partie plaignante. Au demeurant, l’administration de nouvelles preuves n’est pas requise.</w:t>
      </w:r>
    </w:p>
    <w:p>
      <w:r>
        <w:rPr>
          <w:b/>
        </w:rPr>
        <w:t>E. 2.1</w:t>
      </w:r>
    </w:p>
    <w:p>
      <w:r>
        <w:t>Le prévenu conteste l’ensemble des infractions qui lui sont reprochées. Il fait grief à l’autorité de première instance d’avoir procédé à une constatation erronée de l’état de faits retenu et invoque la violation du principe juridique in dubio pro reo. Il allègue que les premiers juges ont donné plus de crédit aux déclarations de B.________ qu'il considère comme dénuées de crédibilité et fausses, qu’aux siennes. Il conteste avoir commis un quelconque acte à caractère sexuel avec la plaignante. Selon lui, la plaignante aurait inventé toute cette histoire car elle le tient responsable du suicide de sa mère. De plus, aucun élément objectif ou preuve ne permet de corroborer les accusations de la plaignante. Au contraire, D.________ qui vivait avec les parties a déclaré n’avoir jamais été témoin des faits décrits par la plaignante. Cela n’était du reste matériellement pas possible car B.________ n’était jamais seule avec son père à cause de la présence des autres membres de la famille à la maison. Ainsi, l’appelant soutient qu’il convient de retenir sa version des faits plutôt que celle de la plaignante et que c’est un acquittement, non pas au bénéficie du doute, mais un acquittement plein et entier, qu’il se justifie de prononcer.</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2.3</w:t>
      </w:r>
    </w:p>
    <w:p>
      <w:r>
        <w:t>S’agissant de l’ensemble des faits reprochés à A.________, la Cour est d’avis, à l’issue de la procédure probatoire d’appel, que c’est de manière convaincante que le Tribunal a retenu la version des faits de la plaignante plutôt que celle de l’appelant à laquelle il a dénié toute crédibilité, de sorte qu’elle fait entièrement sienne la motivation pertinente, minutieuse et complète des premiers juges (cf. jugement querellé, p. 11 à 25) qui ne prête pas le flanc à la critique et à laquelle elle renvoie (art. 82 al. 4 CPP). Lors des débats d’appel, les parties n’ont pas soulevé d’éléments nouveaux qui n’auraient pas déjà été pris en compte par les premiers juges. La Cour précise, au besoin, que l’existence d’une procédure civile pendante devant la Justice de paix, qui ne concernait pas des abus sexuels, n’empêche pas, en soi, même pour une personne qui n’est pas atteinte d’un trouble psychiatrique, une réitération d’actes de nature sexuelle intra familial, étant relevé que dans d’autres affaires, il a pu être constaté que même une procédure pénale en cours, voire une précédente condamnation, n’étaient pas un obstacle à toute récidive. De plus, le</w:t>
      </w:r>
    </w:p>
    <w:p>
      <w:r>
        <w:t>Tribunal cantonal TC Page 7 de 11 prévenu ne saurait tirer argument du fait que sa fille mentirait parce qu’elle a déclaré que son père lui avait dit lors d’un acte sexuel qu’elle lui faisait penser à sa mère. Même si elles ne se ressemblaient pas physiquement, elle pouvait très bien lui faire penser à sa mère, en raison, par exemple de son attitude, ou d’autres caractéristiques.</w:t>
      </w:r>
    </w:p>
    <w:p>
      <w:r>
        <w:rPr>
          <w:b/>
        </w:rPr>
        <w:t>E. 2.4</w:t>
      </w:r>
    </w:p>
    <w:p>
      <w:r>
        <w:t>En outre, la Cour est d’avis que les premiers juges ont qualifié juridiquement de manière exacte les faits reprochés au prévenu en retenant qu’ils étaient constitutifs de lésions corporelles simples (art. 123 ch. 2 al. 3 CP), d’actes d’ordre sexuel avec des enfants (art. 187 ch. 1 al. 1 CP), de contrainte sexuelle (art. 189 al. 1 CP) et de tentative de contrainte (art. 181 et 22 al. 1 CP ; cf. jugement attaqué, p. 25 à 38). Il en va de même de la question de la compétence et du droit applicable. Elle fait donc entièrement sienne leur motivation, qui ne prête pas le flanc à la critique, et y renvoie intégralement (art. 82 al. 4 CPP). Au demeurant, l’appelant n’a formulé aucune critique sur ces questions dans le cadre de la procédure d’appel. Partant, la Cour confirme la condamnation de A.________.</w:t>
      </w:r>
    </w:p>
    <w:p>
      <w:r>
        <w:rPr>
          <w:b/>
        </w:rPr>
        <w:t>E. 3.1</w:t>
      </w:r>
    </w:p>
    <w:p>
      <w:r>
        <w:t>La culpabilité de l’appelant est confirmée en appel. L’appelant n'allègue cependant pas contester la quotité de la peine à titre indépendant et ne motive aucunement ce grief que ce soit dans sa déclaration d’appel ou en séance de ce jour.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Tribunal, apparaîtrait comme illégale ou inéquitable (art. 404 al. 2 CPP).</w:t>
      </w:r>
    </w:p>
    <w:p>
      <w:r>
        <w:rPr>
          <w:b/>
        </w:rPr>
        <w:t>E. 3.2</w:t>
      </w:r>
    </w:p>
    <w:p>
      <w:r>
        <w:t>Quoi qu’il en soit, si elle avait dû l’examiner, la Cour d’appel ne pourrait que se rallier à la motivation pertinente et convaincante du Tribunal (cf. jugement attaqué, p. 38 ss), qu'elle fait sienne et à laquelle elle se réfère expressément (art. 82 al. 4 CPP). Elle la complète comme suit : Pour chacune des infractions, vu leur nature et la réitération des actes délictueux, seule une peine privative de liberté entre en ligne de compte et correspond à l’aspect préventif exigé. Les différentes infractions reprochées au prévenu entrent dès lors en concours au sens de l’art. 49 CP. L’infraction la plus grave, qui servira de peine de base, est constituée par les violations de l’art. 189 CP. La peine prévue pour une telle infraction est une peine pécuniaire ou une peine privative de liberté pouvant aller jusqu’à dix ans. Par conséquent, en application des règles sur le concours, la peine privative de liberté à prononcer peut s’élever, en cas de circonstances particulières, jusqu’à 15 ans. Compte tenu des circonstances retenues à juste titre par les premiers juges (cf. jugement attaqué, p. 43, 44), la culpabilité du prévenu est lourde, tant objectivement que subjectivement, et ce, pour les différentes infractions commises. Ainsi la Cour considère que la peine privative de liberté justifiée pour sanctionner les cas de contrainte sexuelle imputés à l’appelant doit être de l’ordre de 36 mois. Il convient d’augmenter sensiblement, soit d’environ 18 mois, la peine de base pour tenir compte des autres infractions commises par l’appelant. Il en découle que la peine privative de liberté ferme de 4 ans et demi prononcée par les premiers juges est adéquate pour sanctionner l’ensemble des agissements de A.________.</w:t>
      </w:r>
    </w:p>
    <w:p>
      <w:r>
        <w:rPr>
          <w:b/>
        </w:rPr>
        <w:t>E. 4</w:t>
      </w:r>
    </w:p>
    <w:p>
      <w:r>
        <w:t>L’appelant conteste l’interdiction de contact et géographique ordonnée entre lui et sa fille pour une durée de 5 ans. Il n’a toutefois pas motivé ce grief qui est en soi contesté comme conséquence de l’acquittement demandé.</w:t>
      </w:r>
    </w:p>
    <w:p>
      <w:r>
        <w:t>Tribunal cantonal TC Page 8 de 11 La Cour d’appel se rallie à la motivation pertinente et convaincante des premiers juges sur ce point (cf. jugement attaqué, p. 45 ss), qu'elle fait sienne et s’y réfère expressément (art. 82 al. 4 CPP). Dans la mesure où le prévenu nie encore aujourd’hui l’ensemble des faits qui lui sont reprochés au préjudice de sa fille et vu les souffrances subies par cette dernière, lesquelles ont été engendrées par les actes de son père à son égard, il est impératif que A.________ ne puisse pas reprendre contact avec elle. Il risquerait de tenter d’assoir à nouveau son emprise sur elle alors qu’elle est encore en plein processus de guérison et fragile. Partant, l’interdiction de contact et géographique prononcée est confirmée.</w:t>
      </w:r>
    </w:p>
    <w:p>
      <w:r>
        <w:rPr>
          <w:b/>
        </w:rPr>
        <w:t>E. 5</w:t>
      </w:r>
    </w:p>
    <w:p>
      <w:r>
        <w:t>Le prévenu conteste l’admission des conclusions civiles de la partie plaignante uniquement comme conséquence de l’acquittement demandé. Vu l’issue de l’appel et le principe de disposition applicable aux conclusions civiles (art. 58 al. 1 CPC), il n’y a pas lieu d’entrer en matière sur ce point. Il s’ensuit le rejet de l’appel.</w:t>
      </w:r>
    </w:p>
    <w:p>
      <w:r>
        <w:rPr>
          <w:b/>
        </w:rPr>
        <w:t>E. 6</w:t>
      </w:r>
    </w:p>
    <w:p>
      <w:r>
        <w:t>Les frais d'appel sont à la charge des parties dans la mesure où elles ont obtenu gain de cause ou succombé (art. 428 al. 1 CPP).</w:t>
      </w:r>
    </w:p>
    <w:p>
      <w:r>
        <w:rPr>
          <w:b/>
        </w:rPr>
        <w:t>E. 6.1</w:t>
      </w:r>
    </w:p>
    <w:p>
      <w:r>
        <w:t>L’appelant a été entièrement débouté. Partant, il se justifie de mettre les frais judiciaires de la procédure d’appel à sa charge. Ils sont fixés à CHF 3’300.- conformément aux art. 424 CPP, 124 LJ, 33 à 35 et 43 RJ (émolument: CHF 3'000.-; débours: CHF 300.-), hors frais afférents à la défense d’office.</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rPr>
          <w:b/>
        </w:rPr>
        <w:t>E. 6.3</w:t>
      </w:r>
    </w:p>
    <w:p>
      <w:r>
        <w:t>En l'espèce, Me Benoît Sansonnens a été désigné défenseur d’office de A.________ par ordonnance du Ministère public du 10 septembre 2015 (DO 7’027-7’028). Cette désignation vaut également pour la procédure d'appel. Sur la base de la liste de frais qu’il a produite aujourd’hui en</w:t>
      </w:r>
    </w:p>
    <w:p>
      <w:r>
        <w:t>Tribunal cantonal TC Page 9 de 11 séance, la Cour fait globalement droit aux honoraires demandés par Me Sansonnens, sauf en ce qui concerne la durée présumée de la séance. Par conséquent, l’indemnité du défenseur d’office, pour la procédure d’appel, est fixée à CHF 4'746.35, TVA par CHF 339.35 comprise. Le détail du calcul est joint en annexe. En application de l’art. 135 al. 4 CPP, A.________ sera tenu de rembourser ce montant à l’Etat de Fribourg dès que sa situation financière le permettra. Me Manuela Bracher Edelmann agit en qualité de conseil juridique gratuit de B.________. Elle a été désignée par ordonnance du Ministère public du 11 septembre 2015 (DO 7'029, 7’030). Sur sa base de sa liste de frais, la Cour fait globalement droit aux honoraires demandés par Me Bracher Edelmann, les opérations étant justifiées. Une heure a également été ajoutée pour tenir compte de la durée de la séance. Par conséquent, l’indemnité du défenseur d’office, pour la procédure d’appel, est fixée à CHF 1'808.40, TVA par CHF 129.30 comprise. Le détail du calcul est joint en annexe. En application de l'art. 426 al. 4 CPP, A.________ sera tenu de rembourser ce montant à l'Etat dès que sa situation financière le permettra.</w:t>
      </w:r>
    </w:p>
    <w:p>
      <w:r>
        <w:rPr>
          <w:b/>
        </w:rPr>
        <w:t>E. 7</w:t>
      </w:r>
    </w:p>
    <w:p>
      <w:r>
        <w:t>admet les conclusions civiles formulées le 25 septembre 2018 par B.________ contre A.________ (pce 10’091) ; partant, condamne A.________ à lui verser le montant de CHF 12'000.- avec intérêt à 5% l’an dès le 15 août 2015, à titre de réparation du tort moral subi ;</w:t>
      </w:r>
    </w:p>
    <w:p>
      <w:r>
        <w:rPr>
          <w:b/>
        </w:rPr>
        <w:t>E. 8</w:t>
      </w:r>
    </w:p>
    <w:p>
      <w:r>
        <w:t>refuse à A.________ toute indemnité au sens de l’art. 429 CPP ;</w:t>
      </w:r>
    </w:p>
    <w:p>
      <w:r>
        <w:rPr>
          <w:b/>
        </w:rPr>
        <w:t>E. 9</w:t>
      </w:r>
    </w:p>
    <w:p>
      <w:r>
        <w:t>a) arrête au montant de CHF 18’526.40 (dont CHF 1'366.35 à titre de TVA) l’indemnité due à Me Benoît SANSONNENS, défenseur d’office de A.________, prévenu indigent ; b) arrête au montant de CHF 16’880.85 (dont CHF 1'238.25 à titre de TVA) l’indemnité due à Me Manuela BRACHER EDELMANN, mandataire gratuite de B.________, partie plaignante indigente ;</w:t>
      </w:r>
    </w:p>
    <w:p>
      <w:r>
        <w:rPr>
          <w:b/>
        </w:rPr>
        <w:t>E. 10</w:t>
      </w:r>
    </w:p>
    <w:p>
      <w:r>
        <w:t>condamne A.________, en application des art. 421, 422 et 426 CPP, au paiement des frais de procédure : (émoluments : CHF 2’500.- ; débours en l’état, sous réserve d’éventuelles opérations ou factures complémentaires : CHF 72'741.65) ;</w:t>
      </w:r>
    </w:p>
    <w:p>
      <w:r>
        <w:rPr>
          <w:b/>
        </w:rPr>
        <w:t>E. 11</w:t>
      </w:r>
    </w:p>
    <w:p>
      <w:r>
        <w:t>dit qu’en application des art. 135 al. 4, 138 al. 1 et 426 al. 4 CPP, A.________ ne remboursera à l’Etat de Fribourg qui en a fait l’avance le montant de CHF 35'407.25 (indemnité allouée au défenseur d’office Me SANSONNENS [CHF 18’526.40] + indemnité de la mandataire gratuite de la partie plaignante Me BRACHER EDELMANN [CHF 16’880.85]), que lorsque sa situation financière le lui permettra. II. En application de l’art. 428 al. 1 CPP, les frais de procédure d’appel dus à l’Etat sont mis à la charge de A.________. Ils sont fixés à CHF 3’300.- (émolument: CHF 3'000.-; débours: CHF 300.-). III. L'indemnité de défenseur d'office de Me Benoît Sansonnens pour la procédure d'appel est arrêtée à CHF 4'746.35, TVA par CHF 339.35 comprise. En application de l'art. 135 al. 4 CPP, A.________ sera tenu de rembourser ce montant à l'Etat dès que sa situation financière le permettra.</w:t>
      </w:r>
    </w:p>
    <w:p>
      <w:r>
        <w:t>Tribunal cantonal TC Page 11 de 11 L'indemnité de défenseur d'office de Me Manuela Bracher Edelmann pour la procédure d'appel est arrêtée à CHF 1'808.40, TVA par CHF 129.30 comprise. En application de l'art. 426 al. 4 CPP, A.________ est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septembre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