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98 vom 15. Februar 2019</w:t>
      </w:r>
    </w:p>
    <w:p>
      <w:r>
        <w:t>FR Kantonsgericht, 2019-02-15, FR</w:t>
      </w:r>
    </w:p>
    <w:p>
      <w:r>
        <w:rPr>
          <w:b/>
        </w:rPr>
        <w:t xml:space="preserve">Quelle: </w:t>
      </w:r>
      <w:r>
        <w:t>https://mcp.opencaselaw.ch/entscheid/fr_gerichte_501_2018_98</w:t>
      </w:r>
    </w:p>
    <w:p>
      <w:r>
        <w:t>FR: FR_GERICHTE 501 2018 98 du 15 février 2019</w:t>
      </w:r>
    </w:p>
    <w:p>
      <w:r>
        <w:t>IT: FR_GERICHTE 501 2018 98 del 15 febbraio 2019</w:t>
      </w:r>
    </w:p>
    <w:p>
      <w:pPr>
        <w:pStyle w:val="Heading2"/>
      </w:pPr>
      <w:r>
        <w:t>Regeste</w:t>
      </w:r>
    </w:p>
    <w:p>
      <w:r>
        <w:t>Arrêt de la Cour d'appel pénal du Tribunal cantonal | Strafrecht</w:t>
      </w:r>
    </w:p>
    <w:p>
      <w:pPr>
        <w:pStyle w:val="Heading2"/>
      </w:pPr>
      <w:r>
        <w:t>Erwägungen</w:t>
      </w:r>
    </w:p>
    <w:p>
      <w:r>
        <w:rPr>
          <w:b/>
        </w:rPr>
        <w:t>E. 5</w:t>
      </w:r>
    </w:p>
    <w:p>
      <w:r>
        <w:t>novembre 2018. Le dossier étant complet, il n'y a pas lieu d'aller au-delà de l'audition du prévenu afin d'actualiser sa situation personnelle. 2. Délit contre la loi sur les armes 2.1. Aux termes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 ou en fait le courtage. Le Juge de police a retenu que A.________, en prêtant son pistolet à B.________ qui ne possédait pas de permis d'acquisition pour celui-ci, avait aliéné sans droit son arme car, au sens de la LArm, l'aliénation comprend aussi bien le transfert de propriété que de possession (ATF 143 IV 347 consid. 3). Il convient cependant de relever que la personne qui remet une arme soumise à un permis d'acquisition selon l'art. 8 LArm à un tiers qui ne possède pas ce permis ne se rend pas coupable d'une infraction selon l'art. 33 al. 1 let. a LArm car la loi ne prévoit pas un devoir de l'aliénateur de contrôler que le tiers est en possession d'un tel permis. Ceci n'exclut toutefois pas une violation de l'art. 34 al. 1 let. i en relation avec l'art. 9c LArm (ASLANTAS, Handkommentar Waffengesetz, 2017, art. 33 n. 8). En outre, il ressort des déclarations du prévenu, notamment en séance de ce jour (cf. PV p. 4), qu'il ne pensait pas faire faux s’agissant d’un prêt et non pas d’une vente et qu'il n'avait pas l'intention d'enfreindre la loi. C’est d’ailleurs pour agir en toute transparence et avoir une trace qu’il a établi un contrat de prêt. Par conséquent, la condition du caractère intentionnel de l'infraction fait également défaut. Partant, force est de constater que A.________ ne s'est pas rendu coupable de délit contre la loi fédérale sur les armes (aliénation sans droit; art. 33 al. 1 let. a LArm) en prêtant son pistolet à B.________ qui ne disposait pas d'un permis d'acquisition pour cette arme. Son appel est ainsi admis et A.________ est acquitté de ce chef de prévention. Quant à la question de l'application éventuelle de l'art. 33 al. 2 LArm, elle ne se pose pas dans la mesure où le prévenu n'a pas été renvoyé pour cette infraction, seul l’art. 33 al. 1 let. a LArm étant mentionné dans l’ordonnance pénale du 27 décembre 2017 (DO 41) qui vaut arrêt de renvoi.</w:t>
      </w:r>
    </w:p>
    <w:p>
      <w:r>
        <w:t>Tribunal cantonal TC Page 4 de 5 2.2. La Cour examine si A.________ aurait pu être condamné sur la base de l'art. 34 al. 1 let. i en relation avec l'art. 9c LArm s’il avait fait l’objet d’un renvoi pour cette infraction. Est puni de l'amende, sur la base de l'art. 34 al. 1 let. i LArm, quiconque ne se conforme pas à ses obligations de communiquer visées aux art. 7a al. 1, 9c, 11 al. 3 et 4, 11a al. 2, 17 al. 7 ou 42 al. 5 LArm. L'art. 9c LArm prévoit que toute personne qui aliène une arme ou un élément essentiel d'arme doit, dans les 30 jours qui suivent la conclusion du contrat, fournir une copie du permis d'acquisition d'armes de l'acquéreur à l'autorité compétente selon l'art. 9 LArm. En l'espèce, le contrat de prêt entre A.________ et B.________ a été conclu le 30 septembre 2016 (DO 5). Partant, le délai imparti à A.________ pour fournir la copie du permis d'acquisition d'armes de B.________ courait jusqu'au 30 octobre 2016. La perquisition ayant eu lieu avant la fin de ce délai et la restitution de l'arme devant intervenir le week-end du 22 au 23 octobre (DO 22 l. 42), A.________ n'a pas enfreint cette disposition. 3. Frais et indemnité 3.1. L'appel de A.________ étant admis, il convient de mettre les frais de la procédure d'appel à la charge de l'Etat conformément à l'art. 428 al. 1 CPP. Ils comprennent un émolument de CHF 1'000.- et les débours de CHF 100.- (art. 422, 424 CPP, 35 et 43 RJ). Conformément à l'art. 428 al. 3 CPP, lorsque l'autorité de recours rend une nouvelle décision, elle statue également sur les frais fixés par l'autorité inférieure. Le prévenu ayant été acquitté, ceux-ci doivent être mis à la charge de l'Etat (art. 426 al. 1 CPP a contrario). 3.2. 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avocat de choix pour la procédure pénale. Son acquittement ayant été prononcé en appel, il convient de fixer les honoraires de son avocat tant pour la procédure de première instance que pour la procédure d'appel (art. 436 al. 1 et 429 al. 1 let. a CPP). Les prétentions qu’il a fait valoir le 15 février 2019 ne prêtent pas le flanc à la critique et il convient de les lui allouer, le tarif horaire applicable étant de CHF 250.-. (dispositif en page suivante)</w:t>
      </w:r>
    </w:p>
    <w:p>
      <w:r>
        <w:t>Tribunal cantonal TC Page 5 de 5 la Cour arrête : I. L’appel est admis. Partant, le jugement rendu le 22 mai 2018 par le Juge de police de l'arrondissement de la Gruyère est modifié et prend la teneur suivante: 1. A.________ est acquitté du chef de prévention de délit contre la loi fédérale sur les armes ; 2. Sa demande d'indemnité formulée le 2 juillet 2018 est admise ; 3. Les frais de procédure sont mis à la charge de l'Etat de Fribourg. Ils sont fixés à CHF 450.- pour l’émolument de justice et à CHF 80.- pour les débours, soit CHF 530.- . II. Les frais de procédure d'appel, par CHF 1'100.- (émolument: CHF 1'000.-; débours: CHF 100.-), sont mis à la charge de l'Etat. III. Sur la base de l'art. 436 al. 1 et 429 al. 1 let. a CPP, l'Etat est astreint à verser à A.________ une indemnité pour les dépenses occasionnées par l'exercice de ses droits de procédure de CHF 4'049.60 (TVA par CHF 289.60 incluse) pour les deux instances.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février 2019/sri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