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95 vom 20. Juni 2018</w:t>
      </w:r>
    </w:p>
    <w:p>
      <w:r>
        <w:t>FR Kantonsgericht, 2018-06-20, FR</w:t>
      </w:r>
    </w:p>
    <w:p>
      <w:r>
        <w:rPr>
          <w:b/>
        </w:rPr>
        <w:t xml:space="preserve">Quelle: </w:t>
      </w:r>
      <w:r>
        <w:t>https://mcp.opencaselaw.ch/entscheid/fr_gerichte_501_2018_95</w:t>
      </w:r>
    </w:p>
    <w:p>
      <w:r>
        <w:t>FR: FR_GERICHTE 501 2018 95 du 20 juin 2018</w:t>
      </w:r>
    </w:p>
    <w:p>
      <w:r>
        <w:t>IT: FR_GERICHTE 501 2018 95 del 20 giugno 2018</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2018 95 Arrêt du 20 juin 2018 Cour d'appel pénal Composition Président : Michel Favre Juges : Catherine Overney, Dina Beti Greffière-rapporteure : Sandra Ayan-Mantelli Parties A.________, condamné, représenté par Me Pierre Serge Heger, avocat Objet Restitution des sûretés</w:t>
      </w:r>
    </w:p>
    <w:p>
      <w:r>
        <w:t>Tribunal cantonal TC Page 2 de 3 attendu que, le 29 novembre 2013, la mise en liberté provisoire du prévenu a été ordonnée moyennant notamment le versement de CHF 20'000.- à titre de sûretés ; que, par arrêt du 23 août 2016, confirmé par le Tribunal fédéral, la Cour de céans a condamné le prévenu principalement à une peine privative de liberté de 4 ans ; que le Service de l’exécution des sanctions pénales et de la probation a confirmé que le condamné a commencé l’exécution de sa peine privative de liberté et qu’il est incarcéré aux Etablissements de Bellechasse, ce qui entraîne la libération des sûretés ; qu’il y a partant lieu de donner suite à la requête de libération des sûretés déposée le 6 juin 2018 par le condamné, la Cour de céans étant compétente sur ce point en application de l’art. 239 al. 3 CPP ; qu’aux termes de l’art. 239 al. 2 CPP, les sûretés fournies par le prévenu qui ont été libérées peuvent être utilisées pour payer les peines pécuniaires, les amendes, les frais et les indemnités mis à sa charge ; que les frais pénaux fixés par le jugement de première instance et confirmés en appel s’élèvent à plus de CHF 50'000.- et n’ont toujours pas été acquittés ; qu’il se justifie partant de compenser le montant de CHF 6'000.- représentant la part des sûretés fournies par le condamné lui-même avec la liste de frais de première instance ; qu’en revanche les sûretés fournies par des tiers ne peuvent pas être compensées (TF arrêt 1B_286/2012 du 19 novembre 2012) ; qu’il se justifie partant de restituer le montant de CHF 4'000.- à B.________ et le montant de CHF 10'000.- à C.________ ; que les montants en question se trouvant sur un compte du Tribunal pénal de la Gruyère, il se justifie d’inviter cette autorité à procéder aux remboursements dès l’entrée en force de la présente décision ; qu’il est statué sans frais ;</w:t>
      </w:r>
    </w:p>
    <w:p>
      <w:r>
        <w:t>Tribunal cantonal TC Page 3 de 3 la Cour arrête : I. a) Les sûretés de CHF 20'000.- versées le 2 décembre 2013 sont libérées. b) CHF 6'000.- sont utilisés pour payer une partie de la liste de frais de 1ere instance. c) CHF 4'000.- sont restitués à B.________. d) CHF 10'000.- sont restitués à C.________. II. Le Tribunal pénal de la Gruyère est chargé, dès l’entrée en force du présent arrêt, d’effectuer les remboursements.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juin 2018/fmi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