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73 vom 19. Dezember 2019</w:t>
      </w:r>
    </w:p>
    <w:p>
      <w:r>
        <w:t>FR Kantonsgericht, 2019-12-19, FR</w:t>
      </w:r>
    </w:p>
    <w:p>
      <w:r>
        <w:rPr>
          <w:b/>
        </w:rPr>
        <w:t xml:space="preserve">Quelle: </w:t>
      </w:r>
      <w:r>
        <w:t>https://mcp.opencaselaw.ch/entscheid/fr_gerichte_501_2018_73</w:t>
      </w:r>
    </w:p>
    <w:p>
      <w:r>
        <w:t>FR: FR_GERICHTE 501 2018 73 du 19 décembre 2019</w:t>
      </w:r>
    </w:p>
    <w:p>
      <w:r>
        <w:t>IT: FR_GERICHTE 501 2018 73 del 19 dicembre 2019</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prévenu condamné, a qualité pour interjeter appel (art. 104 al. 1 let. a, 382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la quotité de la peine qui lui a été infligée et l’absence de sursis total assortissant sa peine. Dans ces conditions, la condamnation du prévenu en raison des infractions de contrainte sexuelle et de pornographie, les règles de conduites ordonnées, les conclusions civiles auxquelles il a été condamné, la mise à sa charge des frais de la procédure ainsi que le montant des indemnités des défenseurs d’office des parties sont entrés en force (art. 399 al. 4 et 402 CPP a contrario).</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w:t>
      </w:r>
    </w:p>
    <w:p>
      <w:r>
        <w:t>Tribunal cantonal TC Page 5 de 12 démontre qu'elles ne seront pas de nature à modifier le résultat de celles déjà administrées (ATF 136 I 229 consid. 5.3). Par ordonnance du 24 juillet 2019, le Président a, par appréciation anticipée des preuves, rejeté les réquisitions de preuves de A.________ tendant à ce qu’une nouvelle expertise psychiatrique soit ordonnée. En séance de ce jour, A.________ n’a pas réitéré sa réquisition de preuve. Il n'y a donc pas matière à aller au-delà de l’audition du prévenu.</w:t>
      </w:r>
    </w:p>
    <w:p>
      <w:r>
        <w:rPr>
          <w:b/>
        </w:rPr>
        <w:t>E. 2.1</w:t>
      </w:r>
    </w:p>
    <w:p>
      <w:r>
        <w:t>La culpabilité de l’appelant n’est pas contestée en appel. L’appelant conteste cependant la quotité de la peine à laquelle il a été condamné et invoque une violation de l’art. 47 CP. Il considère que la peine prononcée en première instance est trop sévère et inadaptée, qu’elle ne tient pas compte des circonstances des infractions commises, de sa situation personnelle qui est favorable et de l’effet de la peine sur son avenir. Il conclut à ce qu’il soit condamné à une peine privative de liberté de 18 mois, avec sursis complet.</w:t>
      </w:r>
    </w:p>
    <w:p>
      <w:r>
        <w:rPr>
          <w:b/>
        </w:rPr>
        <w:t>E. 2.2.1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w:t>
      </w:r>
    </w:p>
    <w:p>
      <w:r>
        <w:t>Tribunal cantonal TC Page 6 de 12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2.2.2</w:t>
      </w:r>
    </w:p>
    <w:p>
      <w:r>
        <w:t>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2.3</w:t>
      </w:r>
    </w:p>
    <w:p>
      <w:r>
        <w:t>A.________ est reconnu coupable de contrainte sexuelle (art. 189 al. 1 CP) et de pornographie (art. 197 ch. 1 aCP). Les deux infractions sont passibles in abstracto de peines de même genre. La Cour estime cependant que pour l’infraction de pornographie, le prononcé d’une peine pécuniaire suffit. Vu les faits commis et l’absence d’antécédent du prévenu, une peine privative de liberté n’est pas nécessaire pour pallier le risque de récidive. En revanche, le prononcé d’une peine pécuniaire n’entre pas en ligne de compte pour l’infraction de contrainte sexuelle, car vu la nature de l’infraction commise, seule une peine privative de liberté est de nature à faire prendre conscience au prévenu de ses actes et de ses responsabilités et de pallier de manière efficace le risque de récidive, une peine pécuniaire n’étant à l’évidence pas de nature à le dissuader de commettre de nouvelles infractions. Le type de peine à prononcer, soit une peine privative de liberté, n'est d'ailleurs pas contesté par le prévenu. Il n’y a donc pas de concours entre les deux infractions, les peines à prononcer in concreto n’étant pas de même genre.</w:t>
      </w:r>
    </w:p>
    <w:p>
      <w:r>
        <w:rPr>
          <w:b/>
        </w:rPr>
        <w:t>E. 2.3.1</w:t>
      </w:r>
    </w:p>
    <w:p>
      <w:r>
        <w:t>Concernant l’infraction de pornographie, le prévenu a rendu accessible à son fils de moins de 16 ans au moment des faits, une vidéo de lui-même en train de se masturber. La Cour constate toutefois que le prévenu n’a pas mis cette vidéo sur l’ordinateur dans le dessein que son fils la visionne mais a omis de prendre des mesures pour que son fils n’y ait pas accès en l’effaçant ou en la déplaçant. Il n’a pas agi par dol direct, mais seul le dol éventuel a été retenu. En outre, bien que E.________ ait pu être choqué par le fait que la personne filmée se livrant à un acte d’ordre sexuel était son père, il ne s’agissait toutefois pas de pornographie en soi illicite. Ainsi, la culpabilité du prévenu ne revêt pas une gravité particulière. Si le prévenu a contesté ces faits durant l’instruction et la procédure de première instance, il ne remet plus en cause sa condamnation pour cette infraction en appel. Partant, au vu de ces éléments, la Cour considère qu’une peine pécuniaire de 30 jours-amende à CHF 80.- est adaptée pour sanctionner cette infraction. Le montant du jour-amende est calculé en fonction de la situation financière du prévenu, soit ses revenus de CHF 4’650.- net par mois desquels doivent être déduits 30 % correspondant aux dépenses quotidiennes strictement nécessaires et 30% supplémentaires de ce dernier montant pour l’entretien de la famille, pour arriver à un solde mensuel de CHF 2'278.50, équivalant à un disponible journalier arrondi à CHF 80.-. Le montant du jour-amende est donc fixé à CHF 80.- .</w:t>
      </w:r>
    </w:p>
    <w:p>
      <w:r>
        <w:rPr>
          <w:b/>
        </w:rPr>
        <w:t>E. 2.3.2</w:t>
      </w:r>
    </w:p>
    <w:p>
      <w:r>
        <w:t>S’agissant de l’infraction de contrainte sexuelle, A.________ encourt une peine privative de liberté de dix ans au plus, dans les limites de la reformatio in pejus (art. 391 al. 2 CPP). Si les actes d’ordre sexuel commis par le prévenu sont d’une certaine gravité, ils ne doivent pas non plus être classés dans la catégorie des plus graves. Cependant, la victime avait entière confiance en le</w:t>
      </w:r>
    </w:p>
    <w:p>
      <w:r>
        <w:t>Tribunal cantonal TC Page 7 de 12 prévenu qui l’avait élevée durant son enfance et avec qui elle entretenait une relation quasi parentale même si elle n’habitait plus sous le même toit. G.________ a accueilli en toute confiance chez elle A.________, qui savait qu’elle était seule. L’appelant, motivé par l’unique but de satisfaire son propre désir sexuel, n’a pas hésité à profiter de ce lien de confiance. En prétextant un don de fluidicité, il a abusé de la faiblesse de sa victime qui ne parvenait pas à fonder une famille et a bassement profité de son désir de maternité, lui faisant croire à une guérison, pour l’approcher et la toucher dans son intimité. G.________, qui ne se méfiait pas de A.________ qu’elle considérait comme son père, a été surprise et tétanisée par son comportement. L’appelant a également profité du fait qu’il était bien plus grand et costaud que sa victime et du fait que cette dernière vivait dans un endroit reculé et que son mari était parti travailler. Alors que le prévenu s’est rendu compte de la tournure répréhensible que prenaient les évènements, il n’a pas cessé ses attouchements mais a au contraire franchi un cap supplémentaire en enlevant son pantalon et son slip et en se mettant sur sa victime. Il n’a pas non plus été dissuadé de poursuivre ses actes lorsqu’il s’est rendu compte que G.________ était nouée et crispée. Par son comportement, le prévenu a exercé une forte pression psychique et physique sur sa victime et l’a volontairement placée dans une situation où elle a perdu tous ses repères et était incapable de résister. Il a égoïstement cédé à ses fantasmes en lui caressant et léchant les seins, touchant le clitoris, introduisant ses doigts dans le vagin et en se mettant à califourchon, nu, sur sa victime et en se masturbant jusqu’à éjaculer sur le ventre de celle-ci. Ainsi, A.________, guidé par ses instincts les plus primaires, a agi sans scrupules, dans le seul but d’assouvir son propre plaisir immédiat. Son mobile était donc véritablement égoïste et bas. De plus, il n’a fait preuve d’aucune considération pour sa victime, pour qui il représentait une figure paternelle, ni pour son intégrité sexuelle, la traitant comme un simple objet sexuel (« un support » selon le prévenu). Il convient toutefois de relever, à décharge, qu’il n’y a eu qu’un seul épisode. G.________ a cependant été très choquée par les actes subis qui ont eu de lourdes conséquences psychologiques sur elle ainsi que sur sa vie et son quotidien ; G.________ bénéficie d’un suivi psychologique et prend des antidépresseurs. Elle a également changé de comportement depuis son agression, s’est éloignée de ses frère et sœurs et s’est séparée de son mari. Les actes répréhensibles de A.________ ont également eu des conséquences sur le mari de G.________ et sur les membres de sa famille, en particulier son frère E.________ et sa mère F.________. De plus, il ressort de l’expertise effectuée le 23 novembre 2015 par le Dr J.________ et la psychologue K.________, que le prévenu était tout à fait capable, au moment des faits, d’apprécier le caractère illicite de l’acte commis à l’encontre de G.________ et de se déterminer d’après cette appréciation. Sur la base de ces éléments, la culpabilité de l’appelant n'est pas dénuée de gravité et doit être considérée comme moyenne. S'agissant de sa situation personnelle et financière telle qu’elle ressort des déclarations faites ce jour, la Cour considère qu'elle a un effet neutre sur la peine. Il est également relevé que A.________ n’a pas d’antécédent judiciaire (cf. extrait du casier judiciaire du 22.07.2019), ce qui constitue toutefois un élément neutre dans le cadre de la fixation de la peine (ATF 139 IV 1). La Cour tiendra compte à décharge du fait que le prévenu a admis en soi les faits, même s’il a contesté certains détails durant l’instruction et la procédure de première instance ou disait ne pas s’en souvenir. Aujourd’hui, il admet intégralement les faits qui lui sont reprochés et ne conteste plus sa condamnation. On ne saurait en outre prétendre, comme le fait le Tribunal (cf. jugement attaqué, p. 21), que le prévenu n’a pas pris conscience de la gravité de ses actes. Même s’il a cherché des excuses et des justifications à certains de ses actes, il a formulé des regrets sincères</w:t>
      </w:r>
    </w:p>
    <w:p>
      <w:r>
        <w:t>Tribunal cantonal TC Page 8 de 12 devant le Ministère public, le 28 août 2014 (DO 3’025), devant le Tribunal de première instance (cf. PV du 5 septembre 2017, p. 21), ainsi que ce jour devant la Cour. Les propos qu’il a tenus semblent indiquer qu’il a pris la mesure de son comportement. Il convient également de prendre en compte l’absence de concours d’infraction ainsi que de l’écoulement du temps puisque les faits reprochés se sont déroulés en décembre 2013. Compte tenu de l’ensemble de ces éléments et avec une responsabilité pleine et entière, une peine privative de liberté de 23 mois est indiquée pour sanctionner l’infraction commise par A.________, étant précisé qu’il s’agit d’une correction technique imposée par le prononcé d’une peine pécuniaire de 30 jours-amende et par l’interdiction de la reformatio in peius.</w:t>
      </w:r>
    </w:p>
    <w:p>
      <w:r>
        <w:rPr>
          <w:b/>
        </w:rPr>
        <w:t>E. 3.1</w:t>
      </w:r>
    </w:p>
    <w:p>
      <w:r>
        <w:t>interdiction est faite à A.________ d’exercer une activité de masseur/magnétiseur durant le délai d’épreuve ;</w:t>
      </w:r>
    </w:p>
    <w:p>
      <w:r>
        <w:rPr>
          <w:b/>
        </w:rPr>
        <w:t>E. 3.2</w:t>
      </w:r>
    </w:p>
    <w:p>
      <w:r>
        <w:t>obligation est faite à A.________ de suivre une thérapie centrée sur la problématique sexuelle durant le délai d’épreuve.</w:t>
      </w:r>
    </w:p>
    <w:p>
      <w:r>
        <w:rPr>
          <w:b/>
        </w:rPr>
        <w:t>E. 3.3</w:t>
      </w:r>
    </w:p>
    <w:p>
      <w:r>
        <w:t>Le Service de probation est chargé de mettre en œuvre les règles de conduite et de s’assurer de leur respect par A.________.</w:t>
      </w:r>
    </w:p>
    <w:p>
      <w:r>
        <w:rPr>
          <w:b/>
        </w:rPr>
        <w:t>E. 4</w:t>
      </w:r>
    </w:p>
    <w:p>
      <w:r>
        <w:t>Conclusions civiles</w:t>
      </w:r>
    </w:p>
    <w:p>
      <w:r>
        <w:rPr>
          <w:b/>
        </w:rPr>
        <w:t>E. 4.1</w:t>
      </w:r>
    </w:p>
    <w:p>
      <w:r>
        <w:t>En application de l’art. 126 al. 2 let. b CPP, F.________ est renvoyée à agir par la voie civile.</w:t>
      </w:r>
    </w:p>
    <w:p>
      <w:r>
        <w:rPr>
          <w:b/>
        </w:rPr>
        <w:t>E. 4.2</w:t>
      </w:r>
    </w:p>
    <w:p>
      <w:r>
        <w:t>Les conclusions civiles formulées par H.________ sont partiellement admises. Partant, A.________ est condamné à verser à H.________ une indemnité de CHF 1'000.-, à titre de tort moral.</w:t>
      </w:r>
    </w:p>
    <w:p>
      <w:r>
        <w:rPr>
          <w:b/>
        </w:rPr>
        <w:t>E. 4.3</w:t>
      </w:r>
    </w:p>
    <w:p>
      <w:r>
        <w:t>Les conclusions civiles formulées par G.________ sont partiellement admises. Partant, A.________ est condamné à verser à G.________ une indemnité de CHF 15'000.-, avec intérêts à 5 % l’an dès le 4 décembre 2013, à titre de tort moral.</w:t>
      </w:r>
    </w:p>
    <w:p>
      <w:r>
        <w:rPr>
          <w:b/>
        </w:rPr>
        <w:t>E. 5</w:t>
      </w:r>
    </w:p>
    <w:p>
      <w:r>
        <w:t>En application des art. 421 et 426 CPP, les frais de procédure sont mis à la charge de A.________. Ils sont fixés à CHF 5'000.- pour l'émolument de justice, auquel vient s’ajouter l’émolument du Ministère public à hauteur de CHF 881.65 et à CHF 7'387.65 pour les débours, soit CHF 13'269.30 au total.</w:t>
      </w:r>
    </w:p>
    <w:p>
      <w:r>
        <w:t>Tribunal cantonal TC Page 12 de 12 L’indemnité allouée au défenseur d’office de A.________ s’élève CHF 5'589.50. En application de l’art. 135 al. 4 CPP, A.________ sera tenu de rembourser ce montant à l’Etat dès que sa situation financière le permettra. L’indemnité allouée au défenseur d’office de G.________ s’élève à CHF 10'097.45. En application de l’art. 426 al. 4 CPP, A.________ sera tenu de rembourser ce montant à l’Etat s’il bénéficie d’une bonne situation financière. II. Les frais de la procédure d’appel dus à l’Etat sont fixés à CHF 2’200.- (émolument: CHF 2'000.-; débours: CHF 200.-). En application de l’art. 428 al. 1 CPP, la moitié de ces frais de procédure est mise à la charge de A.________, soit CHF 1’100.-, le solde étant laissé à la charge de l’Etat. III. L'indemnité de défenseur d'office de Me Constantin Ruffieux pour la procédure d'appel est arrêtée à CHF 3'232.60, TVA par CHF 231.10 comprise. En application de l'art. 135 al. 4 CPP, A.________ sera tenu de rembourser la moitié de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du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19 décembre 2019/say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