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212 vom 2. Oktober 2019</w:t>
      </w:r>
    </w:p>
    <w:p>
      <w:r>
        <w:t>FR Kantonsgericht, 2019-10-02, FR</w:t>
      </w:r>
    </w:p>
    <w:p>
      <w:r>
        <w:rPr>
          <w:b/>
        </w:rPr>
        <w:t xml:space="preserve">Quelle: </w:t>
      </w:r>
      <w:r>
        <w:t>https://mcp.opencaselaw.ch/entscheid/fr_gerichte_501_2018_212</w:t>
      </w:r>
    </w:p>
    <w:p>
      <w:r>
        <w:t>FR: FR_GERICHTE 501 2018 212 du 2 octobre 2019</w:t>
      </w:r>
    </w:p>
    <w:p>
      <w:r>
        <w:t>IT: FR_GERICHTE 501 2018 212 del 2 ottobre 2019</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Ministère public a qualité pour interjeter appel (art. 104 al. 1 let. c, 381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Le Ministère public s'en prend exclusivement à la quotité de la peine privative de liberté ferme prononcée à l’encontre de A.________ par les premiers juges. Les autres points du dispositif du jugement attaqué – à savoir tous les chiffres du dispositif, à l’exception du chiffre 2 – ne sont en revanche pas contestés par le Ministère public en appel et ne le sont pas non plus par le prévenu, de sorte qu’ils sont à présent entrés en force (art. 399 al. 4 et 402 a contrario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aucune partie n’a requis la réouverture de la procédure probatoire et la Cour ne voit aucun motif d’y procéder d’office, le dossier étant complet.</w:t>
      </w:r>
    </w:p>
    <w:p>
      <w:r>
        <w:rPr>
          <w:b/>
        </w:rPr>
        <w:t>E. 2</w:t>
      </w:r>
    </w:p>
    <w:p>
      <w:r>
        <w:t>LStup et art. 40 CP).</w:t>
      </w:r>
    </w:p>
    <w:p>
      <w:r>
        <w:rPr>
          <w:b/>
        </w:rPr>
        <w:t>E. 2.1</w:t>
      </w:r>
    </w:p>
    <w:p>
      <w:r>
        <w:t>A titre liminaire, c’est le lieu de rappeler qu’une comparaison à d'autres affaires de trafic de stupéfiants est d’emblée délicate, compte tenu des nombreux paramètres qui interviennent dans la fixation de la peine. Une certaine disparité dans le domaine de la fixation de la peine découle nécessairement du principe de l'individualisation de celle-ci. La légalité l’emporte sur l’égalité. De plus, en matière de stupéfiants, la quantité ne constitue pas le seul critère et il perd de l’importance plus on s’éloigne de la limite du cas grave. Ces constatations rendent difficiles, voire stériles, les comparaisons, de surcroît fondées sur l’unique quantité de stupéfiants en cause (cf. arrêt rendu le 20 juin 2011 dans la cause 6B_279/2011 ; ATF 120 IV 136). Le fédéralisme et le principe de l’individualisation des peines rendent difficiles les comparaisons avec des affaires jugées dans d’autres cantons (arrêt rendu le 17 avril 2007 dans la cause 6B_14/2007). D’autre part, en tant que l’appelant semble reprocher aux premiers juges d’avoir retenu que la cocaïne écoulée par le prévenu avait un taux de pureté de 29 %, alors que le taux de pureté moyen de la cocaïne en Suisse en 2016 était de 55 % (cf. jugement attaqué, let. e, p. 13), force est de constater qu’il ne dénonce aucune violation de l’art. 47 CP, mais s'en prend en réalité à l'établissement des faits, alors qu’il n’a pas motivé ce grief, pas plus qu’il n’a pris de conclusions en ce sens, de sorte que sa critique est d’emblée irrecevable et/ou, à tout le moins, infondée. Il suffit donc de renvoyer aux motifs du jugement entrepris sur ce point (art. 82 al. 4 CPP), lesquels ne prêtent pas le flanc à la critique.</w:t>
      </w:r>
    </w:p>
    <w:p>
      <w:r>
        <w:rPr>
          <w:b/>
        </w:rPr>
        <w:t>E. 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w:t>
      </w:r>
    </w:p>
    <w:p>
      <w:r>
        <w:t>Tribunal cantonal TC Page 5 de 10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2.3</w:t>
      </w:r>
    </w:p>
    <w:p>
      <w:r>
        <w:t>Ce jour, A.________ est reconnu coupable de crime à la LStup, de blanchiment d’argent aggravé et de contravention à la LStup. La Cour constate que pour chaque infraction retenue, à l’exception de la contravention à la LStup – qui a été sanctionnée d’une amende et n’est pas remise en question en appel –, seule une peine privative de liberté, à l’exclusion d’une peine pécuniaire, entre en considération, vu la nature des infractions commises. En effet, une peine</w:t>
      </w:r>
    </w:p>
    <w:p>
      <w:r>
        <w:t>Tribunal cantonal TC Page 6 de 10 pécuniaire n’est pas de nature à lui faire prendre conscience de la gravité de ses actes et de ses responsabilités et de pallier de manière efficace le risque de récidive. Les peines à prononcer étant ainsi de même genre, les différentes infractions à juger ce jour entrent en concours au sens de l’art. 49 CP. L’infraction la plus grave abstraitement est le crime à la LStup, puni d’une peine privative de liberté minimale d’un an et de 20 ans au plus (cf. art. 19 al.</w:t>
      </w:r>
    </w:p>
    <w:p>
      <w:r>
        <w:rPr>
          <w:b/>
        </w:rPr>
        <w:t>E. 2.4</w:t>
      </w:r>
    </w:p>
    <w:p>
      <w:r>
        <w:t>La faute du prévenu est lourde et sa culpabilité est importante. En effet, il lui est reproché d’avoir importé pas moins de 230.55 grammes de cocaïne pure et d’en avoir vendu, en l’espace d’un an, 172.55 grammes, ce qui représente près de 13 fois le cas grave tel qu’il a été fixé par la jurisprudence du Tribunal fédéral rappelée plus haut. A cela s’ajoute qu’il doit être retenu qu’il approvisionnait un large panel de consommateurs, soit au minimum 18. A charge également, bien que le prévenu ait vendu sa cocaïne essentiellement à Fribourg (il a toutefois été appréhendé à Zurich avec 200 g de cocaïne), son trafic revêtait tout de même un aspect international, dès lors qu’il importait la drogue d’Espagne. D’autre part, il y a lieu de souligner que la quantité de stupéfiants qu’il est reproché au prévenu d’avoir importée et/ou écoulée est intrinsèquement importante et elle a au surplus été acquise à l’occasion de plusieurs transactions, ventilées sur plusieurs mois d’activité délictueuse, ce qui dénote un professionnalisme certain.</w:t>
      </w:r>
    </w:p>
    <w:p>
      <w:r>
        <w:rPr>
          <w:b/>
        </w:rPr>
        <w:t>E. 2.5</w:t>
      </w:r>
    </w:p>
    <w:p>
      <w:r>
        <w:t>S’agissant de son mobile, il doit être retenu qu’il était purement égoïste, à savoir exclusivement ou, à tout le moins, de manière prépondérante dicté par l’appât d’un gain rapide et conséquent. La Cour, à l’instar du Tribunal pénal (cf. jugement attaqué, consid. 2.3, p. 28), retient en outre que le prévenu n’était lui-même pas consommateur ; elle fait donc sienne la motivation des premiers juges à ce sujet et y renvoie (art. 82 al. 4 CPP). Enfin, tout comme les premiers juges (idem, p. 29), la Cour est d’avis que le prévenu n’aurait jamais mis de lui-même fin à son activité délictueuse de son propre chef et que seule son arrestation était susceptible d’y mettre un terme, de sorte que sa culpabilité subjective doit en définitive également être qualifiée de lourde.</w:t>
      </w:r>
    </w:p>
    <w:p>
      <w:r>
        <w:rPr>
          <w:b/>
        </w:rPr>
        <w:t>E. 2.6</w:t>
      </w:r>
    </w:p>
    <w:p>
      <w:r>
        <w:t>Avec une culpabilité objective et subjective qualifiées de lourdes, une peine privative de liberté de l’ordre de 36 à 48 mois est indiquée comme peine de base pour sanctionner le crime à la LStup.</w:t>
      </w:r>
    </w:p>
    <w:p>
      <w:r>
        <w:rPr>
          <w:b/>
        </w:rPr>
        <w:t>E. 2.7</w:t>
      </w:r>
    </w:p>
    <w:p>
      <w:r>
        <w:t>La Cour souligne également le comportement blâmable du prévenu eu égard au volet du dossier qui concerne le blanchiment d’argent. A cet égard, sa culpabilité objective doit être qualifiée de moyenne. Le prévenu a en effet retiré un bénéfice non négligeable de son trafic (plus de CHF 25'000.- d’argent liquide transféré de la Suisse vers l’Espagne et la République Dominicaine, sans compter le coût des trajets en avion, pour quelque CHF 3'000.-, ainsi que son entretien et son logement en Suisse qu’il a bien dû financer). Il a ainsi « blanchi » plus de CHF 25'000.-, de sorte que la circonstance aggravante qu’est le métier a été retenue à son encontre. Toutefois, cette infraction découle du crime à la LStup commis et l’argent engrangé a servi à entretenir sa famille, de sorte que sa culpabilité subjective convient d’être qualifiée de légère eu égard à ce volet du dossier, ce qui conduit à une légère aggravation de la peine entrant en considération.</w:t>
      </w:r>
    </w:p>
    <w:p>
      <w:r>
        <w:rPr>
          <w:b/>
        </w:rPr>
        <w:t>E. 2.8</w:t>
      </w:r>
    </w:p>
    <w:p>
      <w:r>
        <w:t>S’agissant de sa situation personnelle, elle peut être résumée comme suit : A.________ est né en D.________ et a effectué sa scolarité obligatoire dans ce pays. Il n’a pas suivi ensuite de formation et travaillé sur les chantiers. Ses frères et sœurs vivent à E.________. Il est parti vivre</w:t>
      </w:r>
    </w:p>
    <w:p>
      <w:r>
        <w:t>Tribunal cantonal TC Page 7 de 10 en F.________ en 1987. Il s’y est marié en 1992 ou 1993. Il a quatre enfants de deux unions différentes. Sa compagne actuelle et trois de ses enfants vivent à G.________. Elle ne travaille pas et touche l’aide sociale. Quant à son épouse, elle est retournée en D.________ avec leur premier enfant. Il n’a pas de fortune ni de voiture en F.________. Il a des dettes car ils avaient pris un appartement à crédit qui a été saisi à cause de la crise et il lui reste une dette de € 280'000.-. Depuis avril 2017, A.________ se trouve en détention (en exécution anticipée depuis le 2 mai 2018). Il aspire à revoir ses enfants et reprendre à nouveau un café-restaurant avec sa famille en F.________ (cf. jugement attaqué, consid. 2.3, p. 29 et PV de ce jour, p. 4). Compte tenu de ce qui précède, sa situation personnelle est un élément qui doit être qualifié de neutre dans le cadre de la fixation de la peine. Il en va de même du bon comportement en détention qui ne revêt pas d'importance particulière dans la fixation de la peine dès lors qu'une telle attitude correspond à ce que l'on doit pouvoir attendre d'un détenu (cf. arrêt TF 6B_99/2012 consid. 4.6 du 14 novembre 2012). S’agissant de ses antécédents, force est de constater que le prévenu ne figure pas au casier judiciaire suisse, étant rappelé que l’absence d'antécédents, en soi, est un critère neutre dans le cadre de la fixation de la peine (cf. ATF 136 IV 1 consid. 2.6.4). S’agissant de la volonté du prévenu de s’amender, la Cour est partagée sur la question. D’une part, sans être bonne, sa collaboration au cours de l’instruction doit être qualifiée de moyenne. En effet, le prévenu a, dans un premier temps, nié les faits, puis a cherché à minimiser la quantité de cocaïne qu’on lui reproche d’avoir importée et/ou écoulée, reconnaissant les faits les moins graves seulement et uniquement lorsque les preuves contre lui devenaient accablantes et qu’il n’était pas possible qu’il échappe à une condamnation. D’autre part, les premiers juges ont souligné que les regrets exprimés par l’intéressé en séance manquaient singulièrement de sincérité, lorsqu’il n’a pas cherché à se poser en victime (cf. jugement entrepris, consid. 2.3, p. 29). Ce jour en séance, le prévenu a, une nouvelle fois, exprimé des regrets, ce qui, aux yeux de la Cour, dénote une prise de conscience et une volonté sincère de s’amender, ce qu’il y a lieu de louer et, dans la mesure du possible, d’encourager, ce d’autant qu’il n’a pas fait appel de sa condamnation qu’il a acceptée ; en séance de ce jour, il a déclaré qu’il reconnaissait les faits exposés dans le jugement de première instance (cf. PV, p. 4). La responsabilité pénale du prévenu est pleine et entière. S’agissant des éventuels motifs d’atténuation obligatoire de la peine, au sens de l’art. 48 CP, la Cour, à l’instar du Tribunal pénal, n’en retient aucun.</w:t>
      </w:r>
    </w:p>
    <w:p>
      <w:r>
        <w:rPr>
          <w:b/>
        </w:rPr>
        <w:t>E. 2.9</w:t>
      </w:r>
    </w:p>
    <w:p>
      <w:r>
        <w:t>Compte tenu de l’ensemble de ces éléments, en particulier de la gravité des faits, de la culpabilité du prévenu jugée importante, de sa faute jugée lourde, du concours d’infractions, de sa situation personnelle telle qu’exposée plus haut, de ses perspectives d’amendement et au vu de son absence d’antécédents, la Cour estime qu’une peine privative de liberté de 48 mois est adéquate pour sanctionner les agissements de A.________.</w:t>
      </w:r>
    </w:p>
    <w:p>
      <w:r>
        <w:rPr>
          <w:b/>
        </w:rPr>
        <w:t>E. 2.10</w:t>
      </w:r>
    </w:p>
    <w:p>
      <w:r>
        <w:t>Une telle peine est incompatible avec l’octroi du sursis qu’il soit total ou même partiel. Il s’ensuit l’admission partielle de l’appel.</w:t>
      </w:r>
    </w:p>
    <w:p>
      <w:r>
        <w:t>Tribunal cantonal TC Page 8 de 10</w:t>
      </w:r>
    </w:p>
    <w:p>
      <w:r>
        <w:rPr>
          <w:b/>
        </w:rPr>
        <w:t>E. 3</w:t>
      </w:r>
    </w:p>
    <w:p>
      <w:r>
        <w:t>L’expulsion judiciaire du territoire suisse de A.________ est prononcée pour une durée de 10 ans (art. 66a al. 1 let. d CP) et, en vertu de l’article 20 N-SIS, le signalement de l’expulsion dans le Système d’information Schengen est ordonné.</w:t>
      </w:r>
    </w:p>
    <w:p>
      <w:r>
        <w:rPr>
          <w:b/>
        </w:rPr>
        <w:t>E. 3.1</w:t>
      </w:r>
    </w:p>
    <w:p>
      <w:r>
        <w:t>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w:t>
      </w:r>
    </w:p>
    <w:p>
      <w:r>
        <w:rPr>
          <w:b/>
        </w:rPr>
        <w:t>E. 3.2</w:t>
      </w:r>
    </w:p>
    <w:p>
      <w:r>
        <w:t>En l’espèce, Me Laurent Bosson a été désigné défenseur d’office de A.________ par ordonnance du Ministère public du 11 avril 2017 (DO/7'000 s.), désignation qui vaut également pour la procédure d'appel. Sur la base de la liste de frais produite le 30 septembre 2019, la Cour fait globalement droit aux prétentions de Me Laurent Bosson et retient qu’il a consacré utilement 6 heures et 40 minutes à défense de son client en appel, ce qui représente des honoraires pour un montant de CHF 1’200.- au total. Compte tenu encore des débours par CHF 60.- (5 %), des frais de vacations par CHF 400.- et de la TVA à 7.7 % par CHF 127.80, l’indemnité du défenseur d’office de A.________, Me Laurent Bosson, pour la procédure d’appel est fixée à CHF 1'787.80. (dispositif en page suivante)</w:t>
      </w:r>
    </w:p>
    <w:p>
      <w:r>
        <w:t>Tribunal cantonal TC Page 9 de 10 la Cour arrête : I. L’appel est partiellement admis. Partant, le jugement du Tribunal pénal de l’arrondissement de la Sarine du 8 octobre 2018 a désormais la teneur suivante: 1. A.________ est reconnu coupable de crime et contravention à la loi fédérale sur les stupéfiants et blanchiment d’argent aggravé au sens des articles 19 al. 1 lit. b, c et d et 19 al. 2 lit. a et c LStup, 19a ch. 1 LStup et 305bis ch. 2 lit. c CP. 2. En application des articles 40, 47, 49, 51, 104 et 106 aCP, A.________ est condamné : - à une peine privative de liberté de 48 mois ferme, sous déduction des jours de détention provisoire subis du 7 avril 2017 au 1er mai 2018 et des jours effectués en exécution anticipée de peine depuis le 2 mai 2018, - et à une amende de CHF 200.– qui, cas de non-paiement dans le délai qui sera fixé sur la facture et si celle-ci est inexécutable par la voie de la poursuite pour dettes, fera place à 2 jours de peine privative de liberté de substitution (art. 106 al. 2 et 3 aCP).</w:t>
      </w:r>
    </w:p>
    <w:p>
      <w:r>
        <w:rPr>
          <w:b/>
        </w:rPr>
        <w:t>E. 4</w:t>
      </w:r>
    </w:p>
    <w:p>
      <w:r>
        <w:t>a) En application de l’article 69 CP, la confiscation et la destruction de la drogue séquestrée est ordonnée. b) En application de l’article 69 CP ; la confiscation et la destruction des objets encore séquestrés sont ordonnées. c) En application de l’article 70 CP, les € 950.– séquestrés sont confisqués et seront dévolus à l'Etat (en faveur du Fonds pour la lutte contre les toxicomanies). d) Il est renoncé au prononcé d’une créance compensatrice (art. 71 CP).</w:t>
      </w:r>
    </w:p>
    <w:p>
      <w:r>
        <w:rPr>
          <w:b/>
        </w:rPr>
        <w:t>E. 5</w:t>
      </w:r>
    </w:p>
    <w:p>
      <w:r>
        <w:t>L’indemnité due à Me Laurent BOSSON, défenseur d’office du prévenu indigent, est arrêtée au montant de CHF 15'357.65 (dont CHF 656.05 à titre de TVA à 8 % et CHF 464.80 de TVA à 7.7%).</w:t>
      </w:r>
    </w:p>
    <w:p>
      <w:r>
        <w:rPr>
          <w:b/>
        </w:rPr>
        <w:t>E. 6</w:t>
      </w:r>
    </w:p>
    <w:p>
      <w:r>
        <w:t>A.________ est condamné, en application des articles 421, 422 et 426 CPP, au paiement des frais de procédure par CHF 72'205.45 (émolument : CHF 2’000.–, débours en l’état, sous réserve d’éventuelles opérations ou factures complémentaires : CHF 70'205.45, y compris l’indemnité allouée au défenseur d’office).</w:t>
      </w:r>
    </w:p>
    <w:p>
      <w:r>
        <w:rPr>
          <w:b/>
        </w:rPr>
        <w:t>E. 7</w:t>
      </w:r>
    </w:p>
    <w:p>
      <w:r>
        <w:t>A.________ ne sera tenu de rembourser à l’Etat de Fribourg, qui en fait l’avance, le montant de CHF 15'357.65 que lorsque sa situation financière le lui permettra (art. 135 al. 4 CPP).</w:t>
      </w:r>
    </w:p>
    <w:p>
      <w:r>
        <w:t>Tribunal cantonal TC Page 10 de 10</w:t>
      </w:r>
    </w:p>
    <w:p>
      <w:r>
        <w:rPr>
          <w:b/>
        </w:rPr>
        <w:t>E. 8</w:t>
      </w:r>
    </w:p>
    <w:p>
      <w:r>
        <w:t>Il est pris acte que A.________ est en exécution anticipée de peine depuis le 2 mai 2018, ce qui rend sans objet toute éventuelle décision de maintien en détention pour des motifs de sûreté au sens de l’art. 231 al. 1 lit. a CPP. II. Les frais de la procédure d’appel sont mis à la charge de A.________ à raison de moitié, le solde étant laissé à la charge de l’Etat. Ils sont fixés à CHF 2’200.- (émolument CHF 2’000.-; débours CHF 200.-). L’indemnité du défenseur d’office de A.________, Me Laurent Bosson, est fixée à CHF 1'787.80, TVA par CHF 127.80 comprise, pour la procédure d’appel. En application de l'art. 135 al. 4 CPP, A.________ sera tenu de rembourser la moitié de ce montant à l'Etat dès que sa situation financière le permettra.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octobre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