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113 vom 23. August 2019</w:t>
      </w:r>
    </w:p>
    <w:p>
      <w:r>
        <w:t>FR Kantonsgericht, 2019-08-23, FR</w:t>
      </w:r>
    </w:p>
    <w:p>
      <w:r>
        <w:rPr>
          <w:b/>
        </w:rPr>
        <w:t xml:space="preserve">Quelle: </w:t>
      </w:r>
      <w:r>
        <w:t>https://mcp.opencaselaw.ch/entscheid/fr_gerichte_501_2018_113</w:t>
      </w:r>
    </w:p>
    <w:p>
      <w:r>
        <w:t>FR: FR_GERICHTE 501 2018 113 du 23 août 2019</w:t>
      </w:r>
    </w:p>
    <w:p>
      <w:r>
        <w:t>IT: FR_GERICHTE 501 2018 113 del 23 agosto 2019</w:t>
      </w:r>
    </w:p>
    <w:p>
      <w:pPr>
        <w:pStyle w:val="Heading2"/>
      </w:pPr>
      <w:r>
        <w:t>Regeste</w:t>
      </w:r>
    </w:p>
    <w:p>
      <w:r>
        <w:t>Arrêt de la Cour d'appel pénal du Tribunal cantonal | Strafrecht</w:t>
      </w:r>
    </w:p>
    <w:p>
      <w:pPr>
        <w:pStyle w:val="Heading2"/>
      </w:pPr>
      <w:r>
        <w:t>Erwägungen</w:t>
      </w:r>
    </w:p>
    <w:p>
      <w:r>
        <w:rPr>
          <w:b/>
        </w:rPr>
        <w:t>E. 19</w:t>
      </w:r>
    </w:p>
    <w:p>
      <w:r>
        <w:t>juillet 2018. Sa motivation est conforme au prescrit de l’art. 385 al. 1 CPP.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Ministère public a renoncé à se déterminer sur le mémoire motivé de l’appelant et a conclu au rejet de l’appel dans la mesure de sa recevabilité. Le Juge de police a indiqué n’avoir aucune observation à formuler et se référer à la teneur du jugement du 14 juin 2018. 1.5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La Cour d’appel peut également administrer, d’office ou sur requête, les preuves complémentaires nécessaires au traitement du recours (art. 389 al. 3 CPP). En l’espèce, aucune des parties n’a requis l’administration de preuves complémentaires et la Cour ne voit pas de motifs d’y procéder d’office. 2. Par rapport à l’infraction reprochée, l'appelant considère que « le jugement est injustifié et fallacieux » (cf. annonce d’appel du 21 juin 2018). De son point de vue, « J'ai bien conscience d'avoir commis en date du 24 février 2018 une infraction importante lorsque j'ai consommé à C.________ deux demis Riccard alors que j'étais condamné à une abstinence de toute consommation d'alcool pendant trois ans. Cette infraction je l'ai reconnue lors d'une audition précédente ainsi que le fait que je la regrettais profondément. Lors des mesures effectuées par la Police à mon domicile, mon taux d'alcoolémie présentait 0.61 mg/l à 0.62 mg/I, je n'ai bien évidemment, dès cette mesure, plus consommé d'alcool ; la conduite en état d'ébriété qualifié me semble clairement injustifiée, d'autant qu'après calcul en retour mon taux se situait entre 0,45 - 1,5 mg/l ce qui correspond à ma déclaration, deux demis Riccard représentant environ 0,40 à 0,5 mg/I. Toutefois lors de mon arrivée à mon domicile, j'ai consommé environ un demi-litre de vin rouge, ce qui explique que mon taux s'était élevé lors de la prise de sang. Cette consommation à mon domicile m'a fait honte et je ne l'ai pas mentionnée (une bouteille vide se trouvait dans une poubelle au sous-sol dans mon atelier). J'ai également subi une analyse capillaire le 28 courant qui j'en suis persuadé se révélera négative » (cf. motivation de son appel déposée le 1er octobre 2018 ; cf. également déclaration d’appel déposée le 19 juillet 2018). En d’autres termes, l’appelant</w:t>
      </w:r>
    </w:p>
    <w:p>
      <w:r>
        <w:t>Tribunal cantonal TC Page 5 de 12 soulève les griefs d’une appréciation erronée des faits, de la violation de la présomption d’innocence et d’une application erronée de son corollaire, le principe in dubio pro reo.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w:t>
      </w:r>
    </w:p>
    <w:p>
      <w:r>
        <w:rPr>
          <w:b/>
        </w:rPr>
        <w:t>E. 22</w:t>
      </w:r>
    </w:p>
    <w:p>
      <w:r>
        <w:t>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w:t>
      </w:r>
    </w:p>
    <w:p>
      <w:r>
        <w:t>Tribunal cantonal TC Page 6 de 12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 2.2.1 En l’espèce, pour établir les faits, le premier Juge a tout d’abord examiné la crédibilité de l’appelant, en analysant attentivement, outre les pièces versées au dossier, les déclarations qu’il a faites le 24 janvier 2018 devant la police (DO 2004) et le 14 juin 2018 lors de son audience (DO 11 s.). A cet égard, il a rappelé les premières déclarations du prévenu devant la police : « Lorsqu’il a été entendu au moment de son interception le 24 janvier 2018 vers 19h10, A.________ a dit en substance avoir bu quelques verres de Pastis à C.________ entre 16h00 et 18h20. Il est ensuite rentré avec son véhicule de marque Jaguar à son domicile à B.________ vers 18h40 où il a bu 5 dl de vin rouge juste avant que les agents arrivent ». Le premier Juge a par la suite restitué les déclarations faites par l’appelant le 14 juin 2018 concernant sa consommation d’alcool avant son interception par la gendarmerie: «Je confirme les déclarations que j’ai faites à la police le</w:t>
      </w:r>
    </w:p>
    <w:p>
      <w:r>
        <w:rPr>
          <w:b/>
        </w:rPr>
        <w:t>E. 24</w:t>
      </w:r>
    </w:p>
    <w:p>
      <w:r>
        <w:t>janvier 2018 et 14 juin 2018 ne font état d’aucun regret, a fortiori d’aucun regret profond exprimé par l’appelant au sujet de l’infraction reconnue (ie « lorsque j'ai consommé à C.________ deux demis Riccard alors que j'étais condamné à une abstinence de toute consommation d'alcool pendant trois ans ». 2.2.2.2 Dans le contrôle de l’alcoolémie, il sied de distinguer deux unités de mesure. « Un contrôle de l'alcool dans l'air expiré consiste à mesurer la quantité d'alcool présente dans l'air expiré par la personne concernée (milligrammes d'éthanol par litre d'air expiré ; mg/l). Avec une prise de sang, il s'agit par contre de déterminer la quantité d'alcool contenue dans le sang d'une personne (grammes d'éthanol par kilogramme de sang ; g/kg = pour mille) »1. Pour ces deux types de mesures, on utilise ainsi des unités de mesure différentes. Selon l’art. 2 de l’Ordonnance de l'Assemblée fédérale concernant les taux limites d'alcool admis en matière de circulation routière (dans sa version dès le 1er octobre 2016 – RS 741.13) : « Sont considérés comme qualifiés: a. un taux d'alcool dans le sang de 0,8 gramme pour mille ou plus; b. un taux d'alcool dans l'haleine de 0,4 milligramme ou plus par litre d'air expiré ». Pour obtenir le taux d'alcool dans le sang à partir du résultat du contrôle de l'alcool dans l'air expiré, il suffit de multiplier ce dernier par deux2. Dans la déclaration d’appel et la motivation de l’appel, l’appelant mélange les deux unités de mesure, respectivement ne fait pas la distinction entre les deux unités de mesure. En l’espèce, lors des mesures effectuées par la Police au domicile de l’appelant, le taux d'alcoolémie à l’éthylotest présentait 0.61 mg/l - 0.62 mg/I (DO 2001). Contrairement à ce que laisse entendre l’appelant, son taux d’alcool dans le sang n’était pas de « 0.61 g ‰ - 0.62 g ‰ », mais de « 1.22 g ‰ - 1.24 g ‰ », étant rappelé que l’analyse de sang du 2 février 2018 (DO 2011, 2001) confiée à l’Institut de Chimie Clinique, analyses médicales &amp; toxicologiques à Lausanne, révéla après calcul en retour un taux d’alcoolémie minimum au moment des faits de 1.54 g ‰, respectivement de 0.45 g ‰ avec la consommation de 5 dl de vin après l’événement. D’ailleurs, à suivre les déclarations de l’appelant, les « demis Riccard représenteraient environ 0.8 g ‰ - 1 g ‰ », ce qui est considéré comme un taux d’alcoolémie qualifié au sens de l’art. 2 de l’Ordonnance précitée. 2.3 En l’occurrence, le premier Juge a exposé, de manière circonstanciée et convaincante (cf. jugement querellé, cons. I., pp. 5-7, dont les motifs ont été retranscrits supra consid. 2.2.1), pourquoi les dires de l’appelant n’étaient pas du tout crédibles. La Cour de céans n'a aucun doute 1 Source : https://www.admin.ch/gov/fr/accueil/documentation/communiques.msg-id-57934.html. 2 Source : https://www.admin.ch/gov/fr/accueil/documentation/communiques.msg-id-57934.html.</w:t>
      </w:r>
    </w:p>
    <w:p>
      <w:r>
        <w:t>Tribunal cantonal TC Page 8 de 12 quant au fait que A.________ n’a pas bu 5 dl de vin rouge à la maison après avoir conduit sa voiture. Elle partage entièrement l’appréciation du premier Juge selon laquelle tout au plus peut-il être admis, au bénéfice du doute, qu’il a bu un décilitre de vin rouge à la maison, dans les circonstances qu’il a décrites. La Cour se rallie par conséquent à l'appréciation du premier juge, qu'elle fait sienne et à laquelle elle renvoie expressément (cf. art. 82 al. 4 CPP), relevant au passage une nouvelle contradiction de l’appelant par rapport aux éléments du dossier (cf. supra consid. 2.2.2). Les griefs d’une appréciation erronée des faits, de la violation de la présomption d’innocence et d’une application erronée de son corollaire, le principe in dubio pro reo, sont injustifiés. L'appel sera rejeté sur ce point. 3. Indépendamment de l’infraction retenue à son encontre, l'appelant critique également la quotité de la peine qui lui a été infligée. Il estime que « Le fait d'avoir été privé de conduire un véhicule depuis le mois de janvier 2018 me semble être une mesure suffisante pour cette infraction» (cf. motivation de son appel déposée le 1er octobre 2018). 3.1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w:t>
      </w:r>
    </w:p>
    <w:p>
      <w:r>
        <w:t>Tribunal cantonal TC Page 9 de 12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6B_1249/2014 du 7 septembre 2015 consid. 1.2 et les références citées). 3.2 En l'espèce, A.________ s'est rendu coupable de conduite en état d’ébriété (taux qualifié) au sens de l’art. 91 al. 2 let. a LCR. Cette infraction est passible d’une peine privative de liberté de trois ans au plus ou d’une peine pécuniaire. L’acte reproché à A.________ est d’une certaine gravité. Le taux d’alcool dans le sang retenu est d’au moins 1 g ‰. Le comportement est d’autant plus répréhensible qu’il s’est produit un peu moins de 16 mois après sa condamnation, en date du</w:t>
      </w:r>
    </w:p>
    <w:p>
      <w:r>
        <w:rPr>
          <w:b/>
        </w:rPr>
        <w:t>E. 29</w:t>
      </w:r>
    </w:p>
    <w:p>
      <w:r>
        <w:t>septembre 2016, pour conduite en état d’ébriété avec un taux qualifié. Les circonstances des deux condamnations des 29 septembre 2016 et 14 juin 2018 sont très similaires ; quand bien même il n’y a pas eu d’accident le 24 janvier 2018, le comportement routier inadéquat de A.________ a été remarqué puisqu’un tiers a fait appel à la police en raison de sa conduite dangereuse. A.________ a fait preuve d’une volonté délictuelle certaine. Les mises en garde qu’auraient dû constituer ses précédentes condamnations pour conduite en état d’ébriété n’ont manifestement eu aucun effet sur son comportement puisqu’il persévère dans ses erreurs. De même, l’engagement pris par l’appelant, lors de l’audition du 29 septembre 2016, « d’une abstinence totale de toute consommation d’alcool, et ce sur plusieurs années » (cf. procès-verbal d’audition du 29 septembre 2016, p. 2), est resté vain. A.________ disposait d’une totale liberté de décision. Il lui appartenait ainsi de décider de ne pas consommer d’alcool lorsqu’il était amené à conduire un véhicule automobile, à tout le moins de ne pas conduire lorsqu’il avait consommé de l’alcool. Il sied de relever que, lors des débats du 29 septembre 2016, A.________ avait déclaré avoir décidé de se prendre en main concernant les problèmes qu’il rencontrait avec l’alcool, étant précisé qu’il était déjà suivi avant les événements du 13 juillet 2015 par le Dr I.________. Il disait se rendre compte qu’il devenait dangereux pour lui et pour les autres (cf. procès-verbal d’audition du 29 septembre 2016, p. 2). Force est aujourd'hui de constater que A.________ n’a pas du tout mis en pratique ses engagements qui n’ont été formulés de manière opportune pour les besoins de la cause. Devant la Cour de céans, A.________ persiste à ne pas reconnaître les faits qui lui sont reprochés. Son système de défense habituel consiste à faire croire qu’il a bu de l’alcool après les événements pour expliquer le taux d’alcoolémie important qui a été mesuré. Il avait déjà procédé de la même manière lors de la précédente procédure à l’issue de laquelle il a été condamné le 29 septembre 2016. Une telle attitude persistante de déni n’est pas à mettre à son crédit. Les antécédents de A.________ en matière de circulation routière ne plaident par ailleurs pas en sa faveur. Bien au contraire. L’appelant figure au casier judiciaire à raison de trois inscriptions, dont deux en relation avec la conduite en état d’ébriété d’un véhicule automobile (taux qualifié) et une en relation avec l’opposition ou la dérobade aux mesures visant à déterminer l’incapacité de conduire. En effet, A.________ a déjà été condamné le 14 février 2011 par le Ministère public de l’arrondissement de Lausanne à une peine pécuniaire de 60 jours-amende à CHF 50.-- et au paiement d’une amende de CHF 200.-- notamment pour conduite en état d’ébriété d’un véhicule automobile avec un taux qualifié. Il a également été condamné le 7 janvier 2014 par le Ministère public du canton de Fribourg à un travail d'intérêt général de 120 heures sans sursis et à une amende de CHF 500.--, notamment pour opposition ou dérobade aux mesures visant à déterminer l’incapacité de conduire. Enfin, il a été condamné très récemment, le 29 septembre 2016, par le Juge de police du Tribunal d’arrondissement de la Glâne à une peine pécuniaire de 150 jours-amende à CHF 25.-- avec sursis pendant 3 ans et au paiement d’une amende de CHF 200.- notamment pour conduite en état d’ébriété d’un véhicule automobile avec un taux</w:t>
      </w:r>
    </w:p>
    <w:p>
      <w:r>
        <w:t>Tribunal cantonal TC Page 10 de 12 qualifié. Contrairement à ce que soutient l’appelant, le fait d'avoir été privé de conduire un véhicule depuis le mois de janvier 2018 n’est en aucun cas une mesure suffisante pour l’infraction qui est retenue ce jour, étant rappelé que le retrait du permis de conduire est une mesure administrative indépendante de toute sanction pénale. En ce qui concerne la situation personnelle, A.________, né en 1951, est marié, retraité, sans enfant. Il perçoit une rente AVS de CHF 1'360.-- par mois et sa fortune s’élève à ses dires à CHF 10'000.-. Il est copropriétaire d’un immeuble (valeur fiscale de CHF 284'000.--) grevé d’une dette hypothécaire de CHF 500'000.-- et dont les charges sont de CHF 1'500.-- par mois. Sa prime d'assurance-maladie s’élève à CHF 400.-- par mois et ses impôts mensuels moyens seraient de CHF 1'300.--. Son épouse réalise un revenu mensuel de CHF 8'000.-- à CHF 9'000.-- par mois. Au vu de ce qui précède, force est de constater que les précédentes condamnations à des peines pécuniaires ou de travail d’intérêt général n’ont pas détourné le prévenu de la récidive pour des infractions similaires. Partant, seule une peine privative de liberté est adéquate et de nature à produire un effet préventif suffisant. Partant, A.________ doit être condamné à une peine privative de liberté de 75 jours, telle que requis par le Ministère public en première instance et prononcée par le juge de police, laquelle correspond aux critères de l’art. 47 CP et ne prête pas flanc à la critique. La Cour rappelle que cette peine, malgré la situation de récidive, se situe encore dans le bas de la fourchette légale, mais que le prévenu est protégé par l’interdiction de la reformation in pejus. Le prévenu ne discute pas la question du refus du sursis. La Cour ne peut que confirmer, vu le risque de récidive, le refus du sursis et fait sienne la motivation pertinente du juge de police, à laquelle elle se réfère expressément (art. 82 al. 4 CPP). Partant, la peine prononcée sera ferme. 4. L'appelant ne critique pas la révocation du sursis octroyé le 29 septembre 2016 à titre indépendant, mais uniquement comme conséquence de l’acquittement demandé. D’ailleurs, dans son appel, il indique qu’il a « bien conscience d'avoir commis en date du 24 février 2018 une infraction importante lorsque j'ai consommé à C.________ deux demis Riccard alors que j'étais condamné à une abstinence de toute consommation d'alcool pendant trois ans. Cette infraction je l'ai reconnue lors d'une audition précédente … » (cf. motivation de son appel déposée le 1er octobre 2018 ; cf. également déclaration d’appel déposée le 19 juillet 2018). La Cour ayant confirmé la condamnation du prévenu pour le chef de prévention retenu par le premier Juge, il n’y a pas lieu de revenir sur la révocation du sursis prononcée en première instance. 5.1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est rejeté. Les frais de procédure d’appel sont donc mis à sa charge. Ces frais comprennent notamment un émolument de CHF 1'000.- et les débours, par CHF 100.-. Il n’y a ni défense d'office, ni assistance judiciaire gratuite. Pour la première instance, il n’y a pas lieu de modifier l’attribution et l’étendue des frais décidées par le Juge de police. 5.2 L'appelant succombant, il n'y a pas place pour une indemnisation de ses frais de défense par l'Etat, au sens des art. 429 CPP, indemnité que par ailleurs, il ne réclame pas.</w:t>
      </w:r>
    </w:p>
    <w:p>
      <w:r>
        <w:t>Tribunal cantonal TC Page 11 de 12 la Cour arrête : I. L’appel est rejeté. Partant, le jugement prononcé par le Juge de police de la Glâne le 14 juin 2018 est confirmé. Il a la teneur suivante: 1. A.________ est reconnu coupable de conduite en état d’ébriété (taux qualifié). 2. En application des art. 91 al. 2 lit. a LCR, 40, 41, 47 CP, A.________ est condamné à une peine privative de liberté de 75 jours, sans sursis. 3. En vertu de l’art. 46 al. 1 CP, le sursis accordé le 29 septembre 2016 à A.________ est révoqué. En cas de non-payement de la peine pécuniaire de 150 jours-amende à fr. 25.- dans le délai qui sera fixé dans la liste de frais et si celle-ci est inexécutable par la voie de la poursuite pour dettes, elle fera place à une peine privative de liberté de 150 jours. Sur demande écrite adressée au Juge de police dans un délai de 30 jours, A.________ peut demander à remplacer l’exécution de la peine privative de liberté et le paiement de la peine pécuniaire par l’exécution de la peine sous forme de travail d’intérêt général. Les modalités d’exécution seront réglées ultérieurement par le Service de l’exécution des sanctions pénales et de la probation. 4. En application des art. 421 et 426 CPP, les frais de procédure sont mis à la charge de A.________. Ils sont fixés comme suit: Émolument du Juge de police (en cas de demande de rédaction intégrale du jugement de sa part, l'émolument sera porté à fr. 700.-) fr. 500.- Débours du Tribunal (en l’état) fr. 465.- Total (sans la demande de rédaction intégrale) fr. 965.- Total (avec la demande de rédaction intégrale) fr. 1'165.- II. En application de l'art. 428 al. 1 CPP, les frais dus à l'Etat pour la procédure d'appel, fixés à CHF 1'100.- (émolument: CHF 1'000.- ; débours: CHF 100.-), sont mis à la charge de A.________. III. Aucune indemnité au sens de l’art. 429 CPP n'est octroyée à A.________. IV. Notification.</w:t>
      </w:r>
    </w:p>
    <w:p>
      <w:r>
        <w:t>Tribunal cantonal TC Page 12 de 12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août 2019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