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224 vom 28. Mai 2018</w:t>
      </w:r>
    </w:p>
    <w:p>
      <w:r>
        <w:t>FR Kantonsgericht, 2018-05-28, FR</w:t>
      </w:r>
    </w:p>
    <w:p>
      <w:r>
        <w:rPr>
          <w:b/>
        </w:rPr>
        <w:t xml:space="preserve">Quelle: </w:t>
      </w:r>
      <w:r>
        <w:t>https://mcp.opencaselaw.ch/entscheid/fr_gerichte_501_2017_224</w:t>
      </w:r>
    </w:p>
    <w:p>
      <w:r>
        <w:t>FR: FR_GERICHTE 501 2017 224 du 28 mai 2018</w:t>
      </w:r>
    </w:p>
    <w:p>
      <w:r>
        <w:t>IT: FR_GERICHTE 501 2017 224 del 28 maggio 2018</w:t>
      </w:r>
    </w:p>
    <w:p>
      <w:pPr>
        <w:pStyle w:val="Heading2"/>
      </w:pPr>
      <w:r>
        <w:t>Regeste</w:t>
      </w:r>
    </w:p>
    <w:p>
      <w:r>
        <w:t>Arrêt de la Cour d'appel pénal du Tribunal cantonal | Strafrecht</w:t>
      </w:r>
    </w:p>
    <w:p>
      <w:pPr>
        <w:pStyle w:val="Heading2"/>
      </w:pPr>
      <w:r>
        <w:t>Erwägungen</w:t>
      </w:r>
    </w:p>
    <w:p>
      <w:r>
        <w:rPr>
          <w:b/>
        </w:rPr>
        <w:t>E. 1</w:t>
      </w:r>
    </w:p>
    <w:p>
      <w:r>
        <w:t>L’appel, déposé en temps utile contre un jugement final rendu par un tribunal de première instance (art. 398 al. 1, 399 al. 1 et 3 CPP), est recevable. De plus, A.________, en tant que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t>Tribunal cantonal TC Page 3 de 9 En l’espèce, le prévenu conteste la quotité de la peine et le refus du sursis partiel. Dans la mesure où il ne remet pas en cause sa culpabilité des infractions de vol en bande et par métier, tentative de vol en bande, dommages à la propriété, violation de domicile et délits contre la loi fédérale sur les étrangers, ce point du jugement est entré en force (art. 399 al. 4 et 402 a contrario CPP). Il en va de même des chiffres 5 à 8 du dispositif du jugement entrepris qui ne sont pas non plus remis en question par l’appelant.</w:t>
      </w:r>
    </w:p>
    <w:p>
      <w:r>
        <w:rPr>
          <w:b/>
        </w:rPr>
        <w:t>E. 1.3</w:t>
      </w:r>
    </w:p>
    <w:p>
      <w:r>
        <w:t>Aucune partie n’a requis la réouverture de la procédure probatoire et la Cour ne voit aucun motif d’y procéder d’office, le dossier étant complet.</w:t>
      </w:r>
    </w:p>
    <w:p>
      <w:r>
        <w:rPr>
          <w:b/>
        </w:rPr>
        <w:t>E. 2.1</w:t>
      </w:r>
    </w:p>
    <w:p>
      <w:r>
        <w:t>L'appelant conteste la quotité de la peine fixée par le Tribunal pénal invoquant la violation des art. 22, 47 et 48 let. a ch. 2 CP. Selon lui, le Tribunal pénal n’a fait aucune mention de l’atténuation de la peine due aux tentatives de vol en bande commises dans 5 cas sur les 14 retenus; il allègue que l’art. 22 CP est cité dans le dispositif sans aucune indication de l’impact de cette disposition sur la quotité de la peine. Il reproche en outre au Tribunal pénal de n’avoir pas suffisamment tenu compte de l’effet de la peine sur son avenir, de n’avoir pas retenu la circonstance atténuante de la détresse profonde au vu de sa situation personnelle et familiale. Enfin, il estime que sa collaboration ne doit pas seulement être qualifiée de « bonne » mais d’exemplaire car c’est grâce à ses déclarations que l’acte d’accusation a pu être établi le 30 juin 2017, soit deux mois seulement après son interpellation. Par conséquent, il prétend qu'une peine privative de liberté de 18 mois assortie d’un sursis partiel serait adéquate.</w:t>
      </w:r>
    </w:p>
    <w:p>
      <w:r>
        <w:rPr>
          <w:b/>
        </w:rPr>
        <w:t>E. 2.2</w:t>
      </w:r>
    </w:p>
    <w:p>
      <w:r>
        <w:t>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Si, en raison d'un ou de plusieurs actes, l'auteur encourt plusieurs peine privatives de liberté, le juge le condamnera à la peine de l'infraction la plus grave et en augmentera la durée d'après les circonstances (principe de l'aggravation). Il ne peut cependant excéder de plus de la moitié le maximum prévu pour cette infraction; en outre, il est lié par le maximum légal du genre de la peine (art. 49 al. 1 CP; ATF 141 précité consid. 6.1.2).</w:t>
      </w:r>
    </w:p>
    <w:p>
      <w:r>
        <w:rPr>
          <w:b/>
        </w:rPr>
        <w:t>E. 2.2.1</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(arrêt TF 6B_42/2015 du 22 juillet 2015 consid. 2.4.1). La mesure de cette atténuation dépend notamment de la proximité du résultat ainsi que des conséquences effectives des actes</w:t>
      </w:r>
    </w:p>
    <w:p>
      <w:r>
        <w:t>Tribunal cantonal TC Page 4 de 9 commis (ATF 127 IV 101 consid. 2b).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w:t>
      </w:r>
    </w:p>
    <w:p>
      <w:r>
        <w:rPr>
          <w:b/>
        </w:rPr>
        <w:t>E. 2.2.2</w:t>
      </w:r>
    </w:p>
    <w:p>
      <w:r>
        <w:t>Selon l'art. 48 let. a ch. 2 CP, le juge atténue la peine si l'auteur a agi dans une détresse profonde.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consid. 4a, p. 95). En outre, le bénéfice de cette circonstance atténuante ne peut être accordé que si l'auteur a respecté une certaine proportionnalité entre les motifs qui le poussent à agir et l'importance du bien qu'il lèse (ATF 110 IV 9 consid. 2 p. 10).</w:t>
      </w:r>
    </w:p>
    <w:p>
      <w:r>
        <w:rPr>
          <w:b/>
        </w:rPr>
        <w:t>E. 2.2.3</w:t>
      </w:r>
    </w:p>
    <w:p>
      <w:r>
        <w:t>La bonne collaboration à l'enquête peut, même lorsqu'elle ne remplit pas les conditions d'un repentir sincère, constituer un élément favorable pour la fixation de la peine dans le cadre ordinaire de l'art. 47 CP.</w:t>
      </w:r>
    </w:p>
    <w:p>
      <w:r>
        <w:rPr>
          <w:b/>
        </w:rPr>
        <w:t>E. 2.3</w:t>
      </w:r>
    </w:p>
    <w:p>
      <w:r>
        <w:t>Le Tribunal pénal a tenu compte de manière détaillée des éléments suivants pour la fixation de la peine: la gravité de la faute et la culpabilité, le mobile qui découle de sa situation précaire, la collaboration lors de la procédure d’instruction, la situation personnelle et financière, les antécédents judiciaires, le concours (cf. jugement attaqué p. 18 à 20, ch. 2 à 4, DO 139 à 141). La Cour fait siennes ces considérations – qui sont adéquates au regard de l’art. 47 al. 1 CP – et y renvoie (art. 82 al. 4 CPP). Elle souligne en particulier la gravité des actes commis par le prévenu, l’intensité de l’activité délictueuse déployée sur une longue période et dans plusieurs cantons suisses, causant ainsi un préjudice important à ses victimes sans oublier les dommages causés.</w:t>
      </w:r>
    </w:p>
    <w:p>
      <w:r>
        <w:rPr>
          <w:b/>
        </w:rPr>
        <w:t>E. 2.4</w:t>
      </w:r>
    </w:p>
    <w:p>
      <w:r>
        <w:t>Dans 5 cas, le prévenu a été reconnu coupable de tentative de vol en bande (cas 3 à 6, 14) car il n’avait rien emporté. Néanmoins, il avait pris toutes les mesures, avec ses acolytes, pour parvenir à ses fins, causant malgré tout des dommages importants, même s’il n’a effectivement rien emporté. Ainsi, s’agissant du cas no 3, le vol n’a échoué qu’en raison du fait qu’ils n’ont rien trouvé à l’intérieur du cabanon de jardin dont ils ont fracturé la porte causant tout de même des dommages pour CHF 100.- (cf. jugement attaqué p. 7 ch. 1.3, DO 128). S’agissant du cas no 4, ils ont causé des dommages pour un montant de CHF 1'500.- en tentant de découper, à l’aide d’une meuleuse à disque, un automate à billets d’une station à essence (cf. jugement attaqué p. 8 ch. 1.4, DO 129). S’ils n’ont rien emporté, ce n’est pas faute d’avoir tout tenté pour y parvenir. S’agissant du cas no 5, ils ont tenté, sans succès, de forcer une porte à l’aide d’un outil plat pour pouvoir entrer dans le bureau d’exposition d’un garage, causant des dommages de CHF 4'250.- (cf. jugement attaqué p. 8 ch. 1.5, DO 129). S’agissant du cas no 6, ils ont cassé deux carreaux d’un garage, notamment en lançant un caillou dans le but d’entrer dans le bureau du garage, causant ainsi des dommages pour un montant de CHF 700.- (cf. jugement p. 9 ch. 1.6, DO 130). Dans le cas no 14, le coffre-fort qu’ils ont meulé leur a résisté mais ils ont causé des dommages d’environ CHF 8'000.- (cf. jugement p. 13 ch. 1.14, DO 134). En l’occurrence, l’atténuation, qui est facultative, ne peut se faire que dans une faible mesure compte tenu du caractère répréhensible des tentatives de vol commises, des moyens utilisés par le prévenu et ses acolytes pour exécuter ces actes et parvenir à leurs fins et du préjudice causé aux lésés. Quoi qu’il en soit, les premiers juges, qui ont appliqué l’art. 22 CP, n’avaient aucune</w:t>
      </w:r>
    </w:p>
    <w:p>
      <w:r>
        <w:t>Tribunal cantonal TC Page 5 de 9 obligation d’exprimer en chiffres ou en pourcentages l’importance qu’ils ont accordé à cette atténuation (ATF 134 IV 17 consid. 2.1 et les références citées).</w:t>
      </w:r>
    </w:p>
    <w:p>
      <w:r>
        <w:rPr>
          <w:b/>
        </w:rPr>
        <w:t>E. 2.5</w:t>
      </w:r>
    </w:p>
    <w:p>
      <w:r>
        <w:t>Contrairement à ce que voudrait l’appelant, la Cour ne peut pas retenir la détresse profonde du fait que l'auteur vit dans une mauvaise situation financière et que son fils est malade; il faudrait qu’il se soit trouvé dans une situation analogue à un état de nécessité, ce que le prévenu n’a pas démontré. En effet, âgé de 37 ans au moment de son arrestation, il vivait en Roumanie chez ses parents, à qui il ne versait aucun loyer, avec sa compagne et son fils de trois ans qui doit suivre un traitement à Bucarest en raison d'un hémangiome nasal. Il a travaillé dans l’agriculture et il possède d’ailleurs des terres agricoles dont l’exploitation lui rapporte de quoi subvenir à ses besoins et à ceux de sa famille (DO 2163 l. 11). Il a également travaillé occasionnellement dans le milieu de la mécanique chez des compatriotes roumains en France et arrivait, par ce biais, à réaliser un salaire d’environ EUR 1'000.- par mois (DO 2163 l. 9). On est ainsi loin de l’état de nécessité. Son but était de gagner de l’argent facilement, sur le compte d’autres personnes qu’il n’a eu aucun scrupule de dépouiller, s’exerçant à un tourisme délictueux pour brouiller les pistes et rendre plus difficile sa localisation et son arrestation. Sa bande était d’ailleurs parfaitement organisée et outillée.</w:t>
      </w:r>
    </w:p>
    <w:p>
      <w:r>
        <w:rPr>
          <w:b/>
        </w:rPr>
        <w:t>E. 2.6</w:t>
      </w:r>
    </w:p>
    <w:p>
      <w:r>
        <w:t>Le critère de l’effet de la peine sur l’avenir du condamné doit permettre au juge d’éviter les sanctions qui pourraient détourner l'intéressé de l'évolution souhaitable (ATF 128 IV 73 consid. 4 p. 79; 127 IV 97 consid. 3 p. 101). Cet aspect de prévention spécial ne permet toutefois que des corrections marginales, la peine devant toujours rester proportionnée à la faute (ATF 134 IV 17 consid. 3.4 et 3.5; arrêt TF 6B_823/2007 du 4 mars 2008 consid. 2 et les références citées). Une réduction de la peine ne s'impose en référence avec les effets de la peine sur l'avenir du condamné que dans des cas particuliers (ATF 134 IV 17 consid. 3.4). En l'espèce, l’appelant n’invoque aucune circonstance particulière permettant une réduction de la peine en fonction de ce critère. En effet, hormis une vague promesse, le prévenu ne peut se targuer d’être au bénéfice d’un contrat de travail stable qui lui procurerait un revenu qui serait compromis en cas de prononcé d’une peine privative de liberté. Le tourisme délictuel auquel il s’est adonné ces dernières années démontre au contraire sa piètre socialisation. Il s’agit maintenant d’essayer de le détourner de ses activités criminelles habituelles en prononçant une peine proportionnée à sa faute. Une correction basée sur l’effet de la peine sur son avenir n’est pas envisageable dans le cas particulier.</w:t>
      </w:r>
    </w:p>
    <w:p>
      <w:r>
        <w:rPr>
          <w:b/>
        </w:rPr>
        <w:t>E. 2.7</w:t>
      </w:r>
    </w:p>
    <w:p>
      <w:r>
        <w:t>L’appelant fait valoir qu'il a collaboré de manière exemplaire avec les enquêteurs et qu’il doit en être tenu compte adéquatement dans la fixation de la peine. Les premiers juges ont tenu compte de la bonne collaboration du prévenu lors de la procédure d’instruction, face aux éléments ADN l’incriminant, en précisant qu’il a donné des indications complémentaires sur ses comparses. Cet élément a dès lors été pris en compte à décharge dans la fixation de la peine et ceci à juste titre.</w:t>
      </w:r>
    </w:p>
    <w:p>
      <w:r>
        <w:rPr>
          <w:b/>
        </w:rPr>
        <w:t>E. 2.8</w:t>
      </w:r>
    </w:p>
    <w:p>
      <w:r>
        <w:t>Quant au bon comportement de l’appelant en détention, la Cour relève qu’il ne revêt pas d’importance particulière dans la fixation de la peine dès lors qu’une telle attitude correspond à ce que l’on doit pouvoir attendre d’un détenu (arrêt TF 6B_99/2012 du 14 novembre 2012 consid. 4.6).</w:t>
      </w:r>
    </w:p>
    <w:p>
      <w:r>
        <w:rPr>
          <w:b/>
        </w:rPr>
        <w:t>E. 2.9</w:t>
      </w:r>
    </w:p>
    <w:p>
      <w:r>
        <w:t>A.________ considère également que la condamnation prononcée par les premiers juges est excessive en se référant à trois exemples trouvés dans la jurisprudence cantonale et fédérale.</w:t>
      </w:r>
    </w:p>
    <w:p>
      <w:r>
        <w:t>Tribunal cantonal TC Page 6 de 9 Compte tenu des nombreux paramètres qui interviennent dans la fixation de la peine, une comparaison avec des affaires concernant d'autres accusés et des faits différents est d'emblée délicate. Les disparités en cette matière s'expliquent normalement par le principe de l'individualisation des peines, voulu par le législateur. Il ne suffit pas que le recourant puisse citer deux ou trois cas où une peine particulièrement clémente a été fixée pour prétendre à un droit à l'égalité de traitement (ATF 141 IV 61 consid. 6.3.2; arrêt TF 6B_1368/2016 du 15 novembre 2017 consid. 6.3.4). En l’espèce, l’arrêt fédéral cité (6B_996/2017) concerne des actes d'ordre sexuel commis sur une personne incapable de discernement ou de résistance, sans aucun lien avec la présente cause; l’arrêt cantonal fribourgeois (501 2017 25) mentionne une peine complémentaire prononcée à l’encontre d’un prévenu dont la responsabilité était moyennement diminuée en raison d’un léger retard mental et d’un grave trouble de la personnalité qui ne peut dès lors servir de comparaison. Aucune référence n’a été donnée pour le troisième exemple.</w:t>
      </w:r>
    </w:p>
    <w:p>
      <w:r>
        <w:rPr>
          <w:b/>
        </w:rPr>
        <w:t>E. 2.10</w:t>
      </w:r>
    </w:p>
    <w:p>
      <w:r>
        <w:t>Compte tenu de ce qui précède, la peine privative de liberté prononcée par les premiers juges à l’encontre de l’appelant, soit 30 mois, est appropriée à la culpabilité du prévenu tout en tenant compte de manière adéquate de toutes les circonstances énumérées ci-dessus. Une telle peine se situe dans le bas de l'échelle (25 %) de la peine encourue pour l'infraction réprimée par l'art. 139 ch. 3 CP. Il s’ensuit le rejet de l’appel sur ce point.</w:t>
      </w:r>
    </w:p>
    <w:p>
      <w:r>
        <w:rPr>
          <w:b/>
        </w:rPr>
        <w:t>E. 3.1</w:t>
      </w:r>
    </w:p>
    <w:p>
      <w:r>
        <w:t>L’appelant s'en prend également au jugement de première instance en tant que les premiers juges ont prononcé une peine ferme. L’appelant conclut à ce que la peine privative de liberté prononcée à son encontre soit assortie d’un sursis partiel (cf. déclaration d’appel du 8 janvier 2018).</w:t>
      </w:r>
    </w:p>
    <w:p>
      <w:r>
        <w:rPr>
          <w:b/>
        </w:rPr>
        <w:t>E. 3.2</w:t>
      </w:r>
    </w:p>
    <w:p>
      <w:r>
        <w:t>Les premiers juges ont exposé de manière exhaustive les énoncés de fait légaux et la jurisprudence relative au sursis (cf. art. 42 al. 1 aCP) et au sursis partiel (art. 42 al. 1 aCP). Tout en renvoyant au jugement entrepris sur ce point (cf. jugement attaqué p. 20 ch. 6, DO 141), la Cour rappelle que l'octroi du sursis – qu’il soit partiel ou complet (cf. arrêt TF 6B_97/2014 du 26 juin 2014 consid. 1.1 et les réf. citées; arrêt TF 6B_492/2008 du 19 mai 2009 consid. 3.1.3 non publié in ATF 135 IV 152). – est exclu si, durant les cinq ans qui précèdent l'infraction, l'auteur a été condamné à une peine privative de liberté ferme ou avec sursis de six mois au moins ou à une peine pécuniaire de 180 jours-amende au moins, sauf s'il justifie de « circonstances particulièrement favorables » (art. 42 al. 2 aCP).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w:t>
      </w:r>
    </w:p>
    <w:p>
      <w:r>
        <w:t>Tribunal cantonal TC Page 7 de 9 manière particulièrement positive (ATF 134 IV 1 consid. 4.2.3 p. 7; arrêt TF 6B_553/2014 du 24 avril 2015 consid. 7.1, non publié in ATF 141 IV 273).</w:t>
      </w:r>
    </w:p>
    <w:p>
      <w:r>
        <w:rPr>
          <w:b/>
        </w:rPr>
        <w:t>E. 3.3</w:t>
      </w:r>
    </w:p>
    <w:p>
      <w:r>
        <w:t>En l'espèce, il ressort du casier judiciaire italien de A.________ qu'il a fait l'objet de plusieurs condamnations dans les cinq ans qui ont précédé la commission des faits pour lesquels il est condamné aujourd'hui. Ainsi, le 28 septembre 2007, le Tribunal de Bergame l'a condamné à une peine de 1 an de réclusion ainsi qu'au paiement d'une amende de EUR 300.- pour tentative de vol en bande, vol en bande et possession injustifiée d'outils destinés au cambriolage en bande; le 10 juin 2009, il a été condamné par le Tribunal de Trévise à une peine de 8 mois d'emprisonnement pour possession injustifiée d'outils destinés au cambriolage en bande, ainsi qu'à une peine de 4 mois de réclusion pour fausse déclaration à une autorité publique au sujet de son identité; le 6 novembre 2013, il a été condamné par le Tribunal de Bergame à une peine de</w:t>
      </w:r>
    </w:p>
    <w:p>
      <w:r>
        <w:rPr>
          <w:b/>
        </w:rPr>
        <w:t>E. 4</w:t>
      </w:r>
    </w:p>
    <w:p>
      <w:r>
        <w:t>ans et 8 mois de réclusion ainsi qu'au paiement d'une amende de EUR 2'000.- pour tentative de vol à main armée en bande et séquestration de personne en bande. Les antécédents du prévenu concernent le même type d’infractions que celles faisant l’objet de la présente procédure. Toutes ces condamnations n’ont, à aucun moment, dissuadé l’appelant de renoncer à ses activités criminelles, bien au contraire. Entre décembre 2011 et mai 2016, il a commis 14 cambriolages en Suisse, s’entêtant dans le même genre de comportement. Même si la Cour prend en considération sa prise de conscience de la gravité de ses agissements, elle ne saurait admettre des circonstances particulièrement favorables permettant l’octroi du sursis. Il s’ensuit le rejet de l’appel sur ce point.</w:t>
      </w:r>
    </w:p>
    <w:p>
      <w:r>
        <w:rPr>
          <w:b/>
        </w:rPr>
        <w:t>E. 4.1</w:t>
      </w:r>
    </w:p>
    <w:p>
      <w:r>
        <w:t>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est rejeté et le jugement de première instance est confirmé, de sorte qu’il n’y a pas lieu de se prononcer sur les frais de première instance. Quant aux frais d’appel, fixés à CHF 2'200.- (émolument: CHF 2'000.,-; débours: CHF 200.-), ils sont mis à la charge de l’appelant.</w:t>
      </w:r>
    </w:p>
    <w:p>
      <w:r>
        <w:rPr>
          <w:b/>
        </w:rPr>
        <w:t>E. 4.2</w:t>
      </w:r>
    </w:p>
    <w:p>
      <w:r>
        <w:t>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de l’indemnité de base (art. 58 al. 1 et 2 RJ). Les frais de déplacement, englobant tous les frais (transports, repas, etc.) ainsi que le temps y consacré, sont fixés conformément aux art. 76 ss. RJ. Quant aux déplacements en ville de Fribourg pour un avocat qui y a son étude, ils sont indemnisés par un montant forfaitaire de</w:t>
      </w:r>
    </w:p>
    <w:p>
      <w:r>
        <w:t>Tribunal cantonal TC Page 8 de 9 CHF 30.- (art. 77 al. 4 RJ). Enfin, le taux de la TVA est de 8% jusqu’au 31 décembre 2017 et de 7.7 % dès cette date (art. 25 al. 1 de la loi du 12 juin 2009 sur la TVA [LTVA; RS 641.20]. Les autorités cantonales jouissent d’une importante marge d’appréciation lorsqu’elles fixent, dans une procédure, la rémunération du défenseur d’office (BOHNET/MARTENET, Droit de la profession d’avocat,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6ème éd., 2005, § 109 n. 5). D’une part, on doit exiger de sa part qu’il soit expéditif et effectif dans son travail et qu’il se concentre sur les points essentiels. Il n’y a dès lors pas lieu d’indemniser des démarches superflues ou excessives (CR LLCA–VALTICOS, 2010, art. 12 n. 257). En l'espèce, la Cour retient que Me Yasemin Bayhan Nager a consacré un total raisonnable de 12 heures à la défense des intérêts de son client en procédure d’appel, au lieu des 14 heures 45 figurant sur la liste de frais produite à l'audience de ce jour. 2 heures ont été nécessaires pour la déclaration d’appel, 15 minutes pour orienter son client sur la séance, 30 minutes pour la consultation du dossier judiciaire, 2 heures pour la conférence avec son client à Bellechasse,</w:t>
      </w:r>
    </w:p>
    <w:p>
      <w:r>
        <w:rPr>
          <w:b/>
        </w:rPr>
        <w:t>E. 5</w:t>
      </w:r>
    </w:p>
    <w:p>
      <w:r>
        <w:t>L’action civile de C.________, D.________, E.________ AG, F.________ GmbH, M.________ AG, G.________ AG, H.________ AG et I.________ SA à l’encontre de A.________ est admise sur le principe, les demandeurs étant renvoyés pour le surplus à agir devant le juge civil.</w:t>
      </w:r>
    </w:p>
    <w:p>
      <w:r>
        <w:rPr>
          <w:b/>
        </w:rPr>
        <w:t>E. 6</w:t>
      </w:r>
    </w:p>
    <w:p>
      <w:r>
        <w:t>L’indemnité de défenseur d'office due à Me Yasemin BAYHAN NAGER est arrêtée à CHF 8'483.95, TVA comprise (honoraires, débours et vacations: CHF 7'855.50; TVA: CHF 628.45). En application de l'art. 135 al. 4 CPP, A.________ sera tenu de rembourser ce montant à l'Etat dès que sa situation financière le permettra.</w:t>
      </w:r>
    </w:p>
    <w:p>
      <w:r>
        <w:rPr>
          <w:b/>
        </w:rPr>
        <w:t>E. 7</w:t>
      </w:r>
    </w:p>
    <w:p>
      <w:r>
        <w:t>En application des art. 421 et 426 CPP, les frais de procédure (émoluments globaux: CHF 3'000.-; débours en l’état, sous réserve d’éventuelles factures ou opérations complémentaires: CHF 3'150.-) sont mis à la charge de A.________. II. En application de l'art. 428 al. 1 CPP, les frais de procédure d'appel sont mis à la charge de A.________. Ils sont fixés à CHF 2'200.- (émolument: CHF 2’000.-; débours: CHF 200.-, hors frais de défense d'office). III. L'indemnité du défenseur d'office de A.________, Me Yasemin Bayhan Nager, pour la procédure d'appel est arrêtée à CHF 2'764.65, TVA par CHF 197.65 comprise. En application de l'art. 135 al. 4 CPP, A.________ sera tenu de rembourser ce montant à l'Etat dès que sa situation financière le permettra. IV. Aucune indemnité au sens des art. 429 et 436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mai 2018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