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208 vom 29. Oktober 2018</w:t>
      </w:r>
    </w:p>
    <w:p>
      <w:r>
        <w:t>FR Kantonsgericht, 2018-10-29, FR</w:t>
      </w:r>
    </w:p>
    <w:p>
      <w:r>
        <w:rPr>
          <w:b/>
        </w:rPr>
        <w:t xml:space="preserve">Quelle: </w:t>
      </w:r>
      <w:r>
        <w:t>https://mcp.opencaselaw.ch/entscheid/fr_gerichte_501_2017_208</w:t>
      </w:r>
    </w:p>
    <w:p>
      <w:r>
        <w:t>FR: FR_GERICHTE 501 2017 208 du 29 octobre 2018</w:t>
      </w:r>
    </w:p>
    <w:p>
      <w:r>
        <w:t>IT: FR_GERICHTE 501 2017 208 del 29 ottobre 2018</w:t>
      </w:r>
    </w:p>
    <w:p>
      <w:pPr>
        <w:pStyle w:val="Heading2"/>
      </w:pPr>
      <w:r>
        <w:t>Regeste</w:t>
      </w:r>
    </w:p>
    <w:p>
      <w:r>
        <w:t>Arrêt de la Cour d'appel pénal du Tribunal cantonal | Strafrecht</w:t>
      </w:r>
    </w:p>
    <w:p>
      <w:pPr>
        <w:pStyle w:val="Heading2"/>
      </w:pPr>
      <w:r>
        <w:t>Erwägungen</w:t>
      </w:r>
    </w:p>
    <w:p>
      <w:r>
        <w:rPr>
          <w:b/>
        </w:rPr>
        <w:t>E. 10</w:t>
      </w:r>
    </w:p>
    <w:p>
      <w:r>
        <w:t>jours prévu par l'art. 399 al. 1 CPP (DO 10'097; 10'099). Le jugement intégralement rédigé lui a été notifié le 23 novembre 2017 (DO 10'131). Déposée le 13 décembre 2017, sa déclaration d'appel a été interjetée en temps utile, soit dans le cadre de délai de 20 jours de l'art. 399 al. 3 CPP. A.________, prévenu condamné, a qualité pour interjeter appel (art. 104 al. 1 let. a, 382 al. 1 et 399 al. 1 et 3 CPP). L'appel est ainsi recevable en la forme.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w:t>
      </w:r>
    </w:p>
    <w:p>
      <w:r>
        <w:t>Tribunal cantonal TC Page 5 de 12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n.5). La Cour d'appel peut également administrer, d'office ou sur requête, les preuves complémentaires nécessaires au traitement du recours (art. 389 al. 3 CPP). En l'espèce, il n'y a pas matière à aller au-delà de l'audition du prévenu et de la partie plaignante. Au demeurant, l'administration de nouvelles preuves n'est pas requise. 2. 2.1. L'appelant conteste avoir commis toutes les infractions qui lui sont reprochées. Il fait grief à l'autorité de première instance d'avoir procédé à une constatation manifestement erronée des faits pertinents et d'avoir méconnu le principe juridique in dubio pro reo. Il allègue que les premiers juges ont arbitrairement accordé davantage de crédit aux déclarations de B.________, malgré un grand nombre de contradictions dans son comportement. Il leur reproche d'avoir principalement retenu le fait qu'elle ait été atteinte psychologiquement par cet événement, en se fondant sur différents certificats médicaux, alors que l'intimée est suivie depuis le 31 mars 2016, soit avant le soir des faits incriminés, ce qui démontre que son état psychologique était déjà instable avant la nuit du 4 au 5 juin 2016. Il critique en outre le fait que le rapport de la psychologue du 17 octobre 2016 ait été rédigé après deux mois seulement de suivi, ce qui ne permet pas de poser un diagnostic objectif, seul un certificat médical plus récent reflétant l'état de santé actuel de la jeune fille permettrait d'affirmer qu'elle souffre encore à ce jour de troubles. Il relève de plus la facilité surprenante de l'intimée à parler des faits avec son entourage, sans gêne apparente et de manière naturelle au quotidien. Il ajoute que son retour dans le salon de la rue F.________ en face du lieu de travail de A.________, alors qu'elle avait été transférée à G.________ (recte: H.________ Centre), n'a rien de l'attitude d'une personne violée qui tenterait de fuir à tout prix pour ne plus être confrontée à son agresseur. Il expose que tous deux ont décidé d'un commun accord d'avoir une relation sexuelle, raison pour laquelle ils ont acheté ensemble des préservatifs. Il indique que pendant l'acte, B.________ a dit avoir mal de sorte qu'il l'a écoutée et a réduit le rythme. Après coup, il lui a maladroitement fait savoir qu'elle avait 10 secondes pour quitter les lieux en comptant à voix haute, ce qui l'a profondément énervée et vexée. Il reconnaît y être "allé un peu fort" lors de leur ébat sexuel mais les marques sur le corps de la jeune femme ne sont, selon lui, que le reflet d'une nuit torride, précisant qu'il en présentait lui aussi, dans une moindre mesure toutefois, en raison de sa peau moins sensible. Il rappelle encore que la jeune femme portait des prothèses ongulaires, dont les griffures sont moins visibles que celles laissées par les ongles naturels plus résistants. Il prétend enfin que si la jeune femme avait véritablement été violée, celle-ci se serait enfuie lorsqu'il a quitté sa chambre pour aller chercher son téléphone portable. Ainsi, l'appelant soutient qu'il convient de retenir sa version des faits plutôt que celle de la plaignante. 2.2.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w:t>
      </w:r>
    </w:p>
    <w:p>
      <w:r>
        <w:t>Tribunal cantonal TC Page 6 de 12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la libre appréciation des preuves, rien ne s'oppose non plus à ne retenir qu'une partie des déclarations d'un témoin ou d'une victime globalement crédible (arrêt TF 6B_614/2012 du</w:t>
      </w:r>
    </w:p>
    <w:p>
      <w:r>
        <w:rPr>
          <w:b/>
        </w:rPr>
        <w:t>E. 15</w:t>
      </w:r>
    </w:p>
    <w:p>
      <w:r>
        <w:t>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t>Tribunal cantonal TC Page 7 de 12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2.3. S'agissant de l'ensemble des faits reprochés à A.________, la Cour est d'avis, après examen du dossier et les débats de ce jour, que c'est de manière convaincante que le Tribunal a retenu la version des faits de B.________, plutôt que celle de l'appelant à laquelle il a dénié toute crédibilité, de sorte qu'elle fait entièrement sienne la motivation pertinente et minutieuse des premiers juges (cf. jugement querellé, p. 4 à 14) qui ne prête pas le flanc à la critique et à laquelle elle renvoie (art. 82 al. 4 CPP). Elle la complète et la précise comme suit, afin de répondre aux griefs formulés par l'appelant. S'agissant des griefs soulevés par l'appelant relatifs aux certificats médicaux, la Cour de céans relève qu'ils ont déjà été examinés avec attention par le Tribunal de première instance. Les deux professionnels consultés par la plaignante, soit la psychologue I.________ et son médecin traitant J.________, ont tous deux diagnostiqué chez elle un état de stress post-traumatique et un trouble anxio-dépressif réactionnel en lien avec les faits survenus la nuit du 4 au 5 juin 2016 (DO 4'014 ss et 4'025). Sa psychologue a observé les symptômes suivants: "souvenirs répétitifs avec sentiment de détresse, rêves répétitifs en lien avec la problématique, sentiment intense de détresse psychique, réactions physiologiques telles que sueur (sic) chaudes et tremblement comme si elle avait froid alors qu'elle a chaud", précisant qu'elle évitait certains endroits pouvant être associés à l'événement traumatique, qu'elle n'avait plus le même intérêt pour des activités habituellement agréables, qu'elle était prise d'anhédonie et était devenue plus irritable en raison d'un état d'hypervigilance, avec pour conséquences de la peine à se concentrer ainsi que des troubles du sommeil (DO 4'018). Dès lors, le fait qu'elle était déjà suivie pour d'autres raisons par son médecin traitant depuis le 31 mars 2016 n'est pas pertinent. En effet, ce dernier n'a pas relevé la présence d'un seul de ces symptômes avant le mois de juin 2016. La Dresse J.________ indique au contraire que sa patiente a présenté, très rapidement après les faits, des troubles du sommeil et a été sujette à un trouble anxio-dépressif (DO 4'025). Le fait que le rapport de la psychologue ait été établi deux mois seulement après les faits n’enlève en soi rien à la validité de la constatation, le diagnostic n’étant au surplus pas établi sur la base des seules déclarations de la victime, mais bien sur la base également de plusieurs tests psychologiques qui valident les troubles constatés. Dans son rapport établi le 17 octobre 2018, le Dr Lavenex confirme avoir diagnostiqué un état de stress post-traumatique dans le cadre d’une exposition répétée à A.________, exposition liée au fait que leurs lieux de travail étaient très proches. Pour la Cour, cet état de stress post-traumatique encore actuel confirme l’existence de l’événement traumatique de base. Elle relève également que le Dr Lavenex suivait déjà l’intimée en 2017 et qu’il lui prescrivait déjà des antidépresseurs (DO 10'052). Il ne fait ainsi aucun doute que les troubles constatés chez la jeune fille sont consécutifs aux événements de la nuit du 4 au 5 juin 2016. Si certaines victimes d'infractions sexuelles peuvent avoir honte et éprouver beaucoup de difficultés à parler des faits survenus, d'autres parviennent au contraire à en parler avec une distance émotionnelle importante. Cela semble être le cas de la plaignante, comme le relève le</w:t>
      </w:r>
    </w:p>
    <w:p>
      <w:r>
        <w:t>Tribunal cantonal TC Page 8 de 12 rapport de la psychologue I.________, qui fait état de la présence chez sa patiente de symptômes de "dissociation péritraumatique liée aux événements en question, avec une sorte d'anesthésie affective et émotionnelle". Cela se traduit par une impossibilité pour la victime à intégrer émotionnellement les faits et à réaliser ce qui lui est arrivé, tant au niveau cognitif qu'affectif (DO 4015). En l'espèce, peu après la nuit du 4 au 5 juin 2016, B.________ s'est aussitôt ouvertement confiée à son entourage sur les faits incriminés, n'hésitant pas à les évoquer spontanément dans des discussions quotidiennes et à envoyer des photos de son agression. La psychologue relève que ce phénomène est connu et fréquent chez les personnes souffrant d'un stress post- traumatique, à l'instar de la plaignante. Elle précise également que cet état n'a duré que jusqu'à la comparution de cette dernière par-devant le ministère public, les 7 et 8 septembre 2016, lors de laquelle les émotions liées à l'événement sont devenues présentes et ont fortement été ressenties. Ces explications sont corroborées par les échanges de messages Whatsapp et SMS de B.________ avec son entourage, durant la période du 6 juillet 2016 au 7 septembre 2016 (DO 2'121 ss). La défense s’étonne que B.________ ait décidé de revenir travailler à proximité du lieu de travail du prévenu, une personne réellement violée essayant à tout prix de fuir afin de ne plus être confrontée à son agresseur. Suite aux événements de la nuit du 4 au 5 juin 2016, B.________ n'a pas été en mesure de poursuivre son apprentissage auprès de K.________, à L.________, durant six semaines, avant d'interrompre complètement sa formation. Elle a par la suite travaillé dans le salon de coiffure de sa mère à la rue M.________ (DO 3'021 et 9'007). Depuis le 1er mai 2017, elle a toutefois repris son apprentissage auprès de N.________, dans le centre commercial de H.________, avant d’être transférée dans la succursale de la rue F.________ au mois d'octobre 2017 (DO 10'052) puis d’être de nouveau en arrêt de travail (cf. certificat du Dr Lavenex et pv du 29 octobre 2018 p. 4). Certes, la jeune femme est revenue travailler dans un salon de la rue F.________, proche de l'établissement où travaille l'appelant. Ce nouveau changement lui a cependant été imposé par son nouvel employeur à la suite d’une réorganisation interne (pv du 29 octobre 2018 p. 4). Le prévenu ne peut donc en tirer argument. L’objection émise par la défense selon lequel il n’est pas possible que B.________ ait pu voir les traits du visage du prévenu changer puisque le rideau opaque étant tiré il faisait nuit, ne résiste par ailleurs pas à l’examen. En effet, il est extrêmement rare que, en présence d’une luminosité extérieure, l’obscurité soit totale, les rideaux laissant passer une partie de la lumière, ce qui ressort du reste de la pièce 2'077 du dossier. De plus, il est fréquent que de faibles sources de lumières artificielles, tels l’éclairage d’un radio réveil ou une autre installation électronique, créent une pénombre suffisante pour observer son partenaire. La Cour précise également que le fait que la plaignante n'ait pas pris de douche après les faits n'est pas déterminant; la jeune fille se trouvait dans un état de choc, voire de sidération, ainsi que l'attestent les déclarations de sa maman: "[…] j'ai vu ma fille assise sur le canapé, complètement à mort, comme si elle s'était fait attaquer" (DO 3'030). Au demeurant, les réactions des victimes dans de telles circonstances varient et dépendent d'une personne à l'autre. Il est de plus relevé que le fait qu’elle connaissait l’auteur, homme pour lequel elle avait même une attirance, ainsi que le fait que le sperme ait été retenu par le préservatif, peuvent expliquer qu’elle n’ait pas ressenti le besoin de prendre une douche immédiatement après les faits. S’il est vrai qu’au cours de la procédure le prévenu a donné différentes réponses à la question de savoir si B.________ s’était rendue aux toilettes avant le début de la relation sexuelle, on ne</w:t>
      </w:r>
    </w:p>
    <w:p>
      <w:r>
        <w:t>Tribunal cantonal TC Page 9 de 12 saurait toutefois attacher à cette contradiction l’importance que lui a donnée le Tribunal de 1ere instance, en ce sens qu’elle porte sur un élément en soi périphérique et anodin. Ce dernier élément ne change toutefois pas le résultat de l’appréciation des preuves et les critiques émises par l’appelant sont partant rejetées. 2.4. S'agissant de la qualification juridique des faits tels que retenus ci-dessus, la Cour constate que les premiers juges ont exposé de manière exhaustive les énoncés de fait légaux et la jurisprudence relative aux infractions réprimées par les art. 190 al. 1 CP, 189 al. 1 CP et 123 al. 1 CP (cf. jugement querellé, p. 14 ss). Ils ont également fait une application correcte de ces dispositions aux faits retenus à la charge du prévenu. On peut dès lors y renvoyer (art. 82 al. 4 CPP). Les éléments constitutifs de l'infraction de contrainte sexuelle au sens de l'art. 189 CP ont également fait l'objet d'un examen pertinent de la part du Tribunal (cf. jugement attaqué, p. 17), auquel la Cour peut se référer, celle-ci étant absorbée par le viol, sans pour autant que l'appelant ne doive en être acquitté. Dans la mesure toutefois où l'appelant conclut à son acquittement de ce chef de prévention, pour lequel il n'a pas été condamné, il y a lieu de rejeter sa conclusion sur ce point. 3. 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 4. L’appelant conteste le principe et les montants accordés à la plaignante au titre de tort moral seulement comme conséquence des acquittements demandés et non à titre indépendant. Vu l’issue de l’appel et le principe de disposition applicable aux conclusions civiles (art. 58 al. 1 CPC), le jugement sera par conséquent confirmé sur ce point. Au surplus, seul le montant octroyé à titre de tort moral était contesté dans la déclaration d’appel, à l’exclusion des montants relatifs aux frais médicaux, de telle sorte que la contestation de ces derniers plaidés lors des débats est irrecevable. 5. 5.1.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ont succombé (art. 428 al. 1 CPP); si elle rend une nouvelle décision, l'autorité d'appel se prononce également sur les frais fixés par l'autorité inférieure (art. 428 al. 3 CPP). En l'espèce, la culpabilité du prévenu a été confirmée et son appel rejeté. Dans ces circonstances, il n'y a pas lieu de modifier la répartition des frais opérée en première instance. S'agissant des frais de la procédure d'appel, l'appelant a succombé sur l'ensemble des points contestés. Partant, il se justifie que la totalité des frais d'appel, par CHF 3'300.- soient supportés par A.________. Ceux-ci comprennent un émolument de CHF 3'000.- et des débours fixés forfaitairement à CHF 300.-.</w:t>
      </w:r>
    </w:p>
    <w:p>
      <w:r>
        <w:t>Tribunal cantonal TC Page 10 de 12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pour les opérations postérieures au 1er janvier 2018 et de 7,7% pour les opérations postérieures (art. 25 al. 1 LTVA). Les déplacements en ville de Fribourg pour un avocat qui y a son étude sont indemnisés par un forfait de CHF 30.- (art. 77 al. 4 RJ). 5.2.1 En l'espèce, Me Laurence Brand Corsani agit en qualité de conseil juridique gratuit de B.________ (DO 7'000-7'007). Sur la base de sa liste de frais, il y a lieu de retenir qu'elle a consacré utilement près de 13h50 heures à la défense de sa cliente en appel, honoraires comprenant le temps consacré à la séance de ce jour ainsi que les opérations postérieures au jugement. Seules 25 minutes ont été retenues pour l’année 2017, les autres opérations ayant déjà été indemnisées en première instance au titre d’opérations post jugement. Pour l’année 2018, les 150 minutes facturées au titre d’étude du dossier à la suite du départ de la stagiaire ne seront pas indemnisés car inhérentes à l’organisation interne de l’étude. Conformément au tableau joint en annexe, la liste de frais est fixée à CHF 2'852.30, TVA par CHF 204.05 comprise. En application de l'art. 426 al. 4 CPP, A.________ sera tenu de rembourser ce montant à l'Etat dès que sa situation financière le permettra. 5.3. Vu l’issue de l’appel, aucune indemnité n’est due à l’appelant sur la base des art. 429 et 436 CPP. Au demeurant, le chiffre 5 du jugement attaqué refusant toute indemnité fondée sur l’art. 429 CPP pour la procédure de première instance n’a pas été remis en cause dans la déclaration d’appel et est entré en force. La conclusion de ce jour s’y rapportant est irrecevable.</w:t>
      </w:r>
    </w:p>
    <w:p>
      <w:r>
        <w:t>Tribunal cantonal TC Page 11 de 12 la Cour arrête: I. L’appel est rejeté. Partant, le jugement du Tribunal pénal de l'arrondissement de la Sarine du 25 octobre 2017 est intégralement confirmé dans sa teneur suivante: Le tribunal pénal 1. reconnaît A.________ coupable de lésions corporelles simples et de viol et, en application des art. 123 ch. 1 et 190 al. 1 CP; 40, 42 al. 1, 44, 47, 49 al. 1 CP; 2. le condamne à une peine privative de liberté de 24 mois avec sursis pendant 2 ans; 3.a) décide, en application de l’art. 267 al. 1 CPP, la levée du séquestre sur le boxer et sa restitution à A.________ (pce 2’068); b) décide, en application de l’art. 267 al. 1 CPP a contrario, la confiscation du string séquestré appartenant à B.________ et son maintien au dossier en tant que moyen de preuve (pce 2’068); 4.a) admet les conclusions civiles formulées le 8 septembre 2017 et complétées le 28 septembre 2017 par B.________ contre A.________ (pces 10’027ss et 10’050); partant, condamne A.________ à lui verser les montants de CHF 160.- avec intérêts à 5% l’an dès le 12 septembre 2016, CHF 160.- avec intérêts à 5% l’an dès le 22 novembre 2016, CHF 162.80, CHF 116.15 et CHF 187.80, tous trois avec intérêt à 5% l’an dès le 4 janvier 2017 et CHF 162.80 avec intérêt à 5% l’an dès le 6 août 2017, à titre de réparation du dommage économique subi; b) condamne A.________ à verser à B.________ le montant de CHF 12’000.-, avec intérêts à 5% l’an dès le 6 juin 2016, à titre de réparation du tort moral subi; 5. rejette la requête d’indemnité formulée le 28 septembre 2017 par A.________ (art. 429 CPP); 6. arrête au montant de CHF 8'228.- (dont CHF 609.50 à titre de TVA à 8 %) l’indemnité due à Me Laurence BRAND CORSANI, mandataire gratuite de B.________, partie plaignante indigente; 7. condamne A.________, en application des art. 421, 422 et 426 CPP, au paiement des frais de procédure: (émoluments: CHF 2'300.-; débours, en l’état, sous réserve d’éventuelles opérations ou factures complémentaires: CHF 11'498.-); 8. dit qu’en application de l’art. 426 al. 4 CPP, A.________ ne remboursera à l’Etat de Fribourg le montant de CHF 8'228.- que lorsque sa situation financière le lui permettra.</w:t>
      </w:r>
    </w:p>
    <w:p>
      <w:r>
        <w:t>Tribunal cantonal TC Page 12 de 12 II. En application de l'art. 428 al. 1 CPP, les frais de procédure d'appel dus à l'Etat sont mis à la charge de A.________. Ils sont fixés à CHF 3'300.- (émolument: CHF 3'000.-; débours: CHF 300.-). III. L'indemnité de défenseur d'office de Me Laurence Brand Corsani pour la procédure d'appel est arrêtée à CHF 2'852.30, TVA par CHF 204.05 comprise. En application de l'art. 426 al. 4 CPP, A.________ est tenu de rembourser ce montant à l'Etat dès que sa situation financière le permettra. IV. Aucune indemnité au sens des art. 429 et 436 CPP n’est due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octobre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