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2017 188 vom 19. Februar 2018</w:t>
      </w:r>
    </w:p>
    <w:p>
      <w:r>
        <w:t>FR Kantonsgericht, 2018-02-19, FR</w:t>
      </w:r>
    </w:p>
    <w:p>
      <w:r>
        <w:rPr>
          <w:b/>
        </w:rPr>
        <w:t xml:space="preserve">Quelle: </w:t>
      </w:r>
      <w:r>
        <w:t>https://mcp.opencaselaw.ch/entscheid/fr_gerichte_501_2017_188</w:t>
      </w:r>
    </w:p>
    <w:p>
      <w:r>
        <w:t>FR: FR_GERICHTE 501 2017 188 du 19 février 2018</w:t>
      </w:r>
    </w:p>
    <w:p>
      <w:r>
        <w:t>IT: FR_GERICHTE 501 2017 188 del 19 febbraio 2018</w:t>
      </w:r>
    </w:p>
    <w:p>
      <w:pPr>
        <w:pStyle w:val="Heading2"/>
      </w:pPr>
      <w:r>
        <w:t>Regeste</w:t>
      </w:r>
    </w:p>
    <w:p>
      <w:r>
        <w:t>Arrêt de la Cour d'appel pénal du Tribunal cantonal | Strafrecht</w:t>
      </w:r>
    </w:p>
    <w:p>
      <w:pPr>
        <w:pStyle w:val="Heading2"/>
      </w:pPr>
      <w:r>
        <w:t>Erwägungen</w:t>
      </w:r>
    </w:p>
    <w:p>
      <w:r>
        <w:rPr>
          <w:b/>
        </w:rPr>
        <w:t>E. 1</w:t>
      </w:r>
    </w:p>
    <w:p>
      <w:r>
        <w:t>reconnaît A.________ coupable de violation des règles de la circulation routière et de conduite en état d'ébriété (taux d'alcool qualifié) et, en application des art. 90 al. 1, 91 al. 2 let. a LCR; 37, 46 al. 1 aCP, 47, 105 al. 1 et 106 CP;</w:t>
      </w:r>
    </w:p>
    <w:p>
      <w:r>
        <w:rPr>
          <w:b/>
        </w:rPr>
        <w:t>E. 2</w:t>
      </w:r>
    </w:p>
    <w:p>
      <w:r>
        <w:t>révoque le sursis octroyé le 6 octobre 2016 par le Ministère public de l’Etat de Fribourg et assortissant une peine pécuniaire de 70 jours-amende;</w:t>
      </w:r>
    </w:p>
    <w:p>
      <w:r>
        <w:rPr>
          <w:b/>
        </w:rPr>
        <w:t>E. 3</w:t>
      </w:r>
    </w:p>
    <w:p>
      <w:r>
        <w:t>i. la condamne à une peine d’ensemble (comprenant la peine révoquée sous chiffre 2) de 720 heures de travail d’intérêt général sans sursis; qui, en cas de mauvaise ou non-exécution, malgré un avertissement, fera place à 180 jours de peine pécuniaire ou de peine privative de liberté (art. 39 CP), ii. la condamne au paiement d’une amende de CHF 200.-, en cas de non-paiement de l'amende dans le délai qui sera fixé dans la facture et si celle-ci est inexécutable par la voie de la poursuite pour dettes, elle fera place à 2 jours de peine privative de liberté de substitution (art. 106 al. 5 et 36 al. 2 et 5 CP);</w:t>
      </w:r>
    </w:p>
    <w:p>
      <w:r>
        <w:rPr>
          <w:b/>
        </w:rPr>
        <w:t>E. 4</w:t>
      </w:r>
    </w:p>
    <w:p>
      <w:r>
        <w:t>condamne A.________, en application des art. 421, 422, 424 et 426 CPP, au paiement des frais de procédure: émoluments fixés à CHF 600.- (Ministère public: CHF 295.-; Juge de Police: CHF 305.-), sous réserve d'éventuelles factures complémentaires; débours en l’état arrêtés à CHF 453.- (Ministère public: CHF 413.-; Juge de Police: CHF 40.-), sous réserve d'éventuelles factures complémentaires. » II. Les frais de la procédure d’appel, par CHF 600.- (émolument: CHF 500.-; débours: CHF 100.-), sont mis à la charge de l’Etat.</w:t>
      </w:r>
    </w:p>
    <w:p>
      <w:r>
        <w:t>Tribunal cantonal TC Page 5 de 5 III. Aucune indemnité n’est versée sur la base de l’art. 436 CPP. IV.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19 février 2018/say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