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12 vom 23. August 2017</w:t>
      </w:r>
    </w:p>
    <w:p>
      <w:r>
        <w:t>FR Kantonsgericht, 2017-08-23, FR</w:t>
      </w:r>
    </w:p>
    <w:p>
      <w:r>
        <w:rPr>
          <w:b/>
        </w:rPr>
        <w:t xml:space="preserve">Quelle: </w:t>
      </w:r>
      <w:r>
        <w:t>https://mcp.opencaselaw.ch/entscheid/fr_gerichte_501_2017_12</w:t>
      </w:r>
    </w:p>
    <w:p>
      <w:r>
        <w:t>FR: FR_GERICHTE 501 2017 12 du 23 août 2017</w:t>
      </w:r>
    </w:p>
    <w:p>
      <w:r>
        <w:t>IT: FR_GERICHTE 501 2017 12 del 23 agosto 2017</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11 octobre 2016, A.________ a annoncé au Juge de police son appel contre le jugement du 29 septembre 2016, en respect du délai de 10 jours prévu par l'art. 399 al. 1 CPP, le dispositif lui ayant été communiqué le 5 octobre 2016. Le jugement intégralement rédigé lui a été notifié le 18 janvier 2017. Remise à la poste le 6 février 2017, sa déclaration d'appel a été interjetée en temps utile, soit dans le cadre du délai de 20 jours de l'art. 399 al. 3 CPP. Prévenu condamné, A.________ a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w:t>
      </w:r>
    </w:p>
    <w:p>
      <w:r>
        <w:t>Tribunal cantonal TC Page 3 de 12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c) Le prévenu conteste en appel sa condamnation pour violation intentionnelle des règles fondamentales de la circulation routière (excès de vitesse, art. 90 al. 3 et 4 LCR), de même qu’il remet en question la quotité de la peine à titre indépendant et le sursis partiel. Dans la mesure où l'appel ne porte pas sur le chef de prévention de conduite sans autorisation et que le montant des frais de justice et de l'indemnité accordée au défenseur d'office ne sont pas contestés, le jugement du 29 septembre 2016 est entré en force sur ces points (art. 399 al. 4 et 402 a contrario CPP).</w:t>
      </w:r>
    </w:p>
    <w:p>
      <w:r>
        <w:rPr>
          <w:b/>
        </w:rPr>
        <w:t>E. 2</w:t>
      </w:r>
    </w:p>
    <w:p>
      <w:r>
        <w:t>novembre 2015, A.________ a circulé sur l’autoroute A1 dans le « Tunnel de Combettes », à Morat, côté Jura km 138, à une vitesse de 151 km/h, alors que la vitesse autorisée était de 80 km/h. L’appel sera donc rejeté sur ce point.</w:t>
      </w:r>
    </w:p>
    <w:p>
      <w:r>
        <w:t>Tribunal cantonal TC Page 6 de 12</w:t>
      </w:r>
    </w:p>
    <w:p>
      <w:r>
        <w:rPr>
          <w:b/>
        </w:rPr>
        <w:t>E. 3</w:t>
      </w:r>
    </w:p>
    <w:p>
      <w:r>
        <w:t>a) Subsidiairement, l’appelant se prévaut d’un défaut d’intention. Il allègue que même dans la mesure où la limitation de 80 km/h devait toujours avoir été en vigueur dans le « Tunnel de Combettes » le 2 novembre 2015, il aurait été intimement convaincu que le tronçon en question était limité à 100 km/h. L’appelant allègue qu’aucun marquage, travaux en suspens, véhicule à proximité ou autre moyen de signalisation ne lui aurait permis de réaliser que le tunnel était limité à 80 km/h. Partant, étant entendu qu’il n’a pas intentionnellement dépassé de 64 km/h la vitesse autorisée, A.________ expose qu’on ne saurait lui imputer une violation grave qualifiée des règles de la circulation routière, les conditions subjectives faisant défaut. b) Aux termes de l’art. 12 al. 2 CP, agit intentionnellement quiconque commet un crime ou un délit avec conscience et volonté. L'auteur agit déjà intentionnellement, par dol éventuel, lorsqu'il tient pour possible la réalisation de l'infraction et l'accepte au cas où elle se produirait. Selon la jurisprudence constante, il y a dol éventuel lorsque l'auteur envisage le résultat dommageable, mais agit néanmoins, s'accommodant de ce résultat pour le cas où il se produirait, même s'il ne le souhaite pas. Pour déterminer si l’auteur s’est accommodé du résultat, le juge doit se fonder, faute d’aveux, sur les éléments extérieurs. Parmi les éléments extérieurs permettant de décider si l'auteur a agi en s'accommodant du résultat dommageable figurent notamment la probabilité de la réalisation du risque et la gravité de la violation du devoir de prudence. Plus ces critères sont élevés et plus la conclusion selon laquelle l'auteur s'est accommodé du résultat dommageable est fondée (cf. ATF 134 IV 26 consid. 3.2.2). En définitive, il faut que la réalisation du danger soit si vraisemblable que seule l'acceptation de ce résultat par l'auteur puisse expliquer son comportement (cf. arrêt TF 6B_519/2007 du 29 janvier 2008 consid. 3.1). Dans le cadre d’un excès de vitesse sanctionné par l’art. 90 al. 4 LCR, la jurisprudence récente retient qu’il n’existe pas de présomption légale irréfragable de la réalisation des conditions subjectives (cf. ATF 142 IV 137 consid. 11.1). En effet, il ne peut être exclu que certains comportements soient susceptibles de réaliser les conditions objectives de la violation grave qualifiée des règles de la circulation routière, sans toutefois relever de l’intention (cf. ATF 142 IV 137 consid. 11.2). Ainsi, le Tribunal fédéral retient que, celui qui commet un excès de vitesse sanctionné par cet article commet objectivement une violation grave qualifiée des règles de la circulation routière au sens de l’art. 90 al. 3 LCR et réalise, en principe, les conditions subjectives de l’infraction. Au vu de ce qui précède, bien que lors d’un dépassement de vitesse, qui atteint les seuils fixés à l’art. 90 al. 4 LCR, il sied de partir de l’idée que l’auteur a non seulement l’intention de violer les règles fondamentales de la circulation, mais accepte également de courir un grand risque d’accident pouvant entraîner de graves blessures ou la mort, le juge conserve toutefois une marge de manœuvre restreinte afin d’exclure, dans des constellations particulières, la réalisation des conditions subjectives (cf. ATF 142 IV 137 consid. 11.2). En l’espèce, l’appelant reprend son argumentation relative à la configuration des lieux pour alléguer qu’il pensait être autorisé à circuler à une vitesse de 100 km/h et que seule une violation grave des règles de la circulation routière devrait par conséquent lui être reproché (art. 90 al. 2 LCR). Or, comme l’a relevé précédemment la Cour de céans (consid. 2d), et sans compter que l’appelant a d’abord allégué penser que la limitation de vitesse était de 120 km/h pour ensuite admettre avoir connaissance du fait qu’on ne circule pas à une vitesse de 120 km/h dans les tunnels (cf. DO 21 et 13008), le « Tunnel de Combettes » était parfaitement signalé. Des panneaux de signalisation, aussi bien plusieurs centaines de mètres avant l’entrée du tunnel qu’à l’entrée même de ce dernier, indiquaient que la vitesse autorisée était de 80 km/h (cf. plan synoptique de la signalisation valable le 2 novembre 2015 transmis aux parties le 21 juin 2017 et vidéo relative à la signalisation du chantier du 2 novembre 2015 transmise aux parties le 19 avril</w:t>
      </w:r>
    </w:p>
    <w:p>
      <w:r>
        <w:t>Tribunal cantonal TC Page 7 de 12 2017). Partant, l’appelant ne saurait alléguer que la signalisation était peu claire ou que d’autres éléments étaient susceptibles de l’induire en erreur. En outre, sans compter que de nombreux panneaux signalaient le tunnel en travaux, en circulant un lundi matin à 151 km/h sur un tronçon limité à 80 km/h, il ne fait aucun doute que l’appelant devait tenir pour possible le risque d’accident pouvant entraîner de graves blessures ou la mort et s’en accommoder. En effet, non seulement l’appelant comptait déjà 8 heures de route et était dans un état de fatigue avancé après avoir voyagé toute la nuit (cf. DO 13008), mais ce dernier circulait en sus sur un tronçon signalé en travaux à 8h00 du matin, horaire où le trafic professionnel et la présence d’ouvriers sur la chaussée étaient hautement prévisibles. Au vu de ce qui précède, il n’existe aucune circonstance particulière qui permettrait à la Cour d’écarter la réalisation de l’aspect subjectif du délit de chauffard. L’appel sera donc rejeté sur ce point également.</w:t>
      </w:r>
    </w:p>
    <w:p>
      <w:r>
        <w:rPr>
          <w:b/>
        </w:rPr>
        <w:t>E. 4</w:t>
      </w:r>
    </w:p>
    <w:p>
      <w:r>
        <w:t>L’appelant conteste en outre la quotité de la peine à titre indépendant et pas uniquement comme conséquence de l’acquittement qu’il demande.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w:t>
      </w:r>
    </w:p>
    <w:p>
      <w:r>
        <w:t>Tribunal cantonal TC Page 8 de 12 si le juge ne considère pas les critères susmentionnés ou si la peine est dictée par des considérations étrangères à cette norme (cf. ATF 134 IV 17 consid. 2.1; 116 IV 288 consid. 2b).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arrêts TF 6B_460/2010 du 4 février 2011 consid. 3.3.4; ATF 137 IV 57; 6B_466/2013 du 25 juillet 2013 consid. 2.1). b) En l'espèce, A.________ est reconnu coupable de conduite sans autorisation (art. 95 al. 1 let. a LCR) et de violation intentionnelle des règles fondamentales de la circulation routière (excès de vitesse, art. 90 al. 3 et 4 LCR). L'infraction la plus grave est celle de violation intentionnelle des règles fondamentales de la circulation routière, pour laquelle le cadre légal va d’une peine privative de liberté de 1 an à 4 ans. En l’espèce, l’appelant a circulé sur un tronçon d’autoroute signalé en travaux, plus précisément dans un tunnel, à une vitesse de 151 km/h, dépassant la vitesse autorisée de 64 km/h. Quand bien même aucun accident n’est survenu, selon le cours ordinaire des choses et l’expérience générale de la vie, un tel comportement est de nature à engendrer un risque accru et concret d’accident pouvant entraîner une mise en danger grave de la santé ou de la vie d’autrui (lésions corporelles graves ou mort), d’autant qu’il a commis cet excès de vitesse en début de matinée, heure à laquelle des ouvriers auraient pu se trouver à proximité et qu’il était accompagné de deux passagers. La culpabilité objective de l’appelant doit par conséquent être qualifiée de moyennement lourde. Sur le plan subjectif, le comportement de l’appelant est hautement blâmable. Ce dernier n’a pas hésité à mettre en danger d’autres usagers de la route (automobilistes ou ouvriers) pour un motif futile et égoïste. Selon toute vraisemblance pressé de rejoindre son domicile après plus de 8 heures de voyage, A.________ aurait aisément pu respecter les limitations de vitesse et céder le volant à son père ou à son épouse, qui étaient tous deux aptes à conduire, ou à tout le moins s’arrêter pour se reposer (cf. DO 13008). En ce qui concerne les facteurs en lien avec l’auteur, son acharnement à nier les actes qui lui sont reprochés ne fait que mettre en lumière le manque d’introspection dont il fait preuve. La culpabilité subjective du prévenu doit dans ces conditions être qualifiée de relativement lourde également. S’agissant des antécédents du prévenu, ils ne plaident pas en sa faveur. L’extrait de son casier judiciaire fait état de deux condamnations prononcées par le Ministère public de l’arrondissement de Lausanne. Le 30 avril 2014, pour conduite d’un véhicule automobile malgré le refus, le retrait ou l’interdiction de l’usage du permis (art. 95 al. 1 let. b LCR) notamment, et le 22 juin 2015 pour la même infraction à nouveau. La Cour constate à ce sujet que l’appelant est une nouvelle fois condamné pour ce même chef de prévention, ce qui dénote que A.________ n’entend pas se conformer aux décisions des autorités et traduit au demeurant un irrespect total du prévenu pour la législation en matière de circulation routière (cf. DO 13013 à 13027). Quant au type de peine qu’il convient de privilégier pour A.________, étant entendu que l’art. 90 al. 3 LCR prévoit une peine minimale d’un an de peine privative de liberté, seul ce type de peine entre en considération.</w:t>
      </w:r>
    </w:p>
    <w:p>
      <w:r>
        <w:t>Tribunal cantonal TC Page 9 de 12 Compte tenu de ce qui précède, la peine justifiée pour sanctionner la violation grave qualifiée des règles de la circulation routière est une peine de l’ordre de 12 mois de peine privative de liberté. En outre, dans la mesure où l’appelant a fait fi des décisions administratives lui interdisant de conduire et qu’il est condamné pour la troisième fois pour conduite sans autorisation, malgré ses deux précédentes condamnations à des peines pécuniaires, le prononcé d’une peine privative de liberté est nécessaire. La violation grave qualifiée des règles de la circulation entre donc en concours avec celle de conduite sans autorisation. La Cour relève à ce propos qu’en sus d’avoir expliqué en audience qu’il était détenteur d’un permis portugais, qui n’avait pas été reconnu en Suisse suite à un concours de circonstances, l’appelant a assuré qu’il était décidé à entreprendre les démarches en vue d’obtenir son permis de conduire suisse, aussitôt que le délai d’attente fixé par le Service des automobiles et de la navigation serait arrivé à son terme. S’il ne fait aucun doute que l’appelant a d’ores et déjà été condamné à deux reprises, la Cour relève que les propos empreint de sincérité de l’appelant, ainsi que le fait que ce dernier n’a jamais été condamné pour excès de vitesse, conduite en état d’ébriété ou un quelconque accident, commandent de prononcer une peine d’ensemble de 12 mois de peine privative de liberté. En effet, au vu des considérations qui précèdent, et étant précisé qu’une telle peine est d’ores et déjà une lourde sanction, celle-ci s'avère, compte tenu des actes commis et de la culpabilité du prévenu, adéquate et suffisamment sévère pour sanctionner les deux comportements reprochés. L'appel sera donc admis sur ce point.</w:t>
      </w:r>
    </w:p>
    <w:p>
      <w:r>
        <w:rPr>
          <w:b/>
        </w:rPr>
        <w:t>E. 5</w:t>
      </w:r>
    </w:p>
    <w:p>
      <w:r>
        <w:t>L'appelant s'en prend également au fait que le Juge de police a refusé de lui octroyer le sursis complet. 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w:t>
      </w:r>
    </w:p>
    <w:p>
      <w:r>
        <w:t>Tribunal cantonal TC Page 10 de 12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(cf. arrêt TF 6B_492/2008 du 19 mai 2009 consid. 3.1.1 et 3.1.3 non publiés aux ATF 135 IV 152). Un pronostic défavorable, en revanche, exclut tant le sursis partiel que le sursis total (cf. arrêt TF 6B_1013/2014 du 15 septembre 2015 consid. 4).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 citées). b) En l'espèce, le Juge de police a estimé qu’en sus du fait que l’appelant a déjà été condamné à deux reprises par le Ministère public de l’arrondissement de Lausanne pour conduite d’un véhicule sous le coup d’une mesure administrative lui interdisant de conduire, son attitude en procédure, son déni du grave excès de vitesse qui lui est reproché et son imperméabilité face aux décisions, aussi bien administratives que pénales, conduisaient à un pronostic incertain quant à l’avenir de A.________. Le casier de l’appelant n’ayant pas d’autres inscriptions que celles citées précédemment, le Juge de police a renoncé au prononcé d’une peine ferme et considéré adéquat de condamner A.________ à l’exécution ferme de la moitie de la peine privative de liberté. Bien que la Cour de céans ait réduit à 12 mois de peine privative de liberté la condamnation de l’appelant, elle partage néanmoins l’opinion du premier juge selon laquelle, aussi bien les antécédents de l’appelant que son acharnement à nier le grave excès de vitesse dont il est l’auteur, commandent de condamner ce dernier à l’exécution partielle de sa peine. En effet, bien que le prévenu ait expliqué avoir compris qu’il ne pouvait pas circuler au moyen de son permis de conduire portugais et qu’il ait certifié entreprendre au plus vite les démarches en vue d’obtenir le permis de conduire suisse, force est d’admettre que les condamnations précédentes n’ont pas eu un effet dissuasif auprès du prévenu et que sa prise de conscience partielle du caractère répréhensible de son comportement ne suffit pas à renverser le pronostic très incertain retenu par le premier juge. La Cour de céans confirme par conséquent le prononcé du sursis partiel. Quant à la durée de la peine suspendue, respectivement de la peine à exécuter, il convient d’appliquer l’art. 43 al. 3 CP, qui prévoit que l’une comme l’autre doivent être de 6 mois au moins. Partant, la sanction prononcée ce jour de 12 mois de peine privative de liberté sera prononcée avec un sursis partiel de 6 mois.</w:t>
      </w:r>
    </w:p>
    <w:p>
      <w:r>
        <w:rPr>
          <w:b/>
        </w:rPr>
        <w:t>E. 6</w:t>
      </w:r>
    </w:p>
    <w:p>
      <w:r>
        <w:t>a) Selon l'art. 426 al. 1 CPP, le prévenu supporte les frais de procédure s'il est condamné. Quant aux frais d'appel, ils sont à la charge des parties dans la mesure où elles ont obtenu gain de</w:t>
      </w:r>
    </w:p>
    <w:p>
      <w:r>
        <w:t>Tribunal cantonal TC Page 11 de 12 cause ou succombé (art. 428 al. 1 CPP); si elle rend une nouvelle décision, l'autorité d'appel se prononce également sur les frais fixés par l'autorité inférieure (art. 428 al. 3 CPP). En l’espèce, le jugement de première instance a été confirmé sur l’ensemble des chefs de prévention retenu contre l’appelant. Il n’y a donc pas lieu de se prononcer sur les frais de première instance, bien que la peine ait été réduite. Quant au frais de deuxième instance, ils seront supportés à raison des 2/3 par l’appelant, qui succombe pour l’essentiel, 1/3 étant laissé à la charge de l’Etat. Les frais judiciaires pour l’appel sont fixés à CHF 3'300.- (émolument: CHF 3'000.-; débours fixés forfaitairement à CHF 300.-). b)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lorsque l'affaire a été traitée essentiellement par un ou une stagiaire, l'indemnité horaire est de CHF 120.-. Les débours nécessaires sont remboursés au prix coûtant, sous réserve des frais de copie, de port et de téléphone, qui sont indemnisés forfaitairement à hauteur de 5 % de l'indemnité de base (art. 58 al. 1 et 2 RJ). Les déplacements en ville de Fribourg pour un avocat qui y a son étude sont indemnisés par un montant forfaitaire de CHF 30.- (art. 77 al. 4 RJ). Enfin, le taux de la TVA est de</w:t>
      </w:r>
    </w:p>
    <w:p>
      <w:r>
        <w:rPr>
          <w:b/>
        </w:rPr>
        <w:t>E. 8</w:t>
      </w:r>
    </w:p>
    <w:p>
      <w:r>
        <w:t>% (art. 25 al. 1 de la loi du 12 juin 2009 sur la TVA [LTVA; RS 641.20]). En l'espèce, Me Luc Esseiva indique avoir consacré à la défense de son client en appel une durée totale de 20.50 heures. Un total de 18 heures sera admis, la durée portée en compte pour l’audience étant réduite à sa durée effective de 1h15 minutes, et celle pour la prise de connaissance de l’arrêt et son explication au client fixée à la durée usuelle de une heure. Au tarif de CHF 180.- l'heure, cela représente des honoraires à hauteur de CHF 3’240.-. Après adjonction des débours (5 % de CHF 3’240.-, soit CHF 162.-), de la vacation à la séance (CHF 30.-) et de la TVA (8 % de CHF 3’432.-, soit CHF 274.55), l'indemnité de défenseur d'office allouée à Me Esseiva s'élève ainsi à CHF 3'706.55, TVA incluse. Conformément à l'art. 135 al. 4 CPP, A.________ sera tenu de rembourser les deux tiers de cette indemnité à l'Etat dès que sa situation financière le permettra. b) L'appelant bénéficiant d'un défenseur d'office, il n'y a pas de place pour une indemnité au sens de l'art. 429 CPP (cf. ATF 139 IV 241 consid. 1). la Cour arrête: I. L’appel est partiellement admis. Partant, le chiffre 1 du dispositif du jugement rendu le 29 septembre 2016 par le Juge de police de l’arrondissement du Lac est confirmé et le chiffre 2 du même dispositif est modifié. Ils ont désormais la teneur suivante:</w:t>
      </w:r>
    </w:p>
    <w:p>
      <w:r>
        <w:t>Tribunal cantonal TC Page 12 de 12 1. A.________ est reconnu coupable de conduite sans autorisation (art. 95 al. 1 lit. a LCR) et violation intentionnelle des règles fondamentales de la circulation routière (excès de vitesse, art. 90 al. 3 et al. 4 LCR). 2. En application des articles précités et des art. 40, 43, 44, 47 et 49 CP, A.________ est condamné à une peine privative de liberté de 12 mois, dont 6 mois ferme et 6 mois avec sursis durant deux ans. Il est pris acte de l’entrée en force du chiffre 3 du jugement du 29 septembre 2016 du Juge de police de l’arrondissement du Lac, qui a la teneur suivante: (…) 3. En application des art. 421 et 426 CPP, les frais de procédure, fixés à CHF 720.- (émolument et débours pour la procédure devant la Juge de police du Lac) et à CHF 295.- (émolument et frais de constitution de dossier du Ministère public), soit un total de CHF 1'015.- sont mis à la charge de A.________. S’ajoutent aux débours l’indemnité attribuée à Me Luc Esseiva, avocat d’office, à savoir CHF 2’700.- (TVA comprise). En application de l’art. 135 al. 4 CPP, A.________ sera tenu de rembourser ce montant à l’Etat dès que sa situation financière le permettra. II. Les frais de procédure d’appel dus à l’Etat, hors indemnité du défenseur d’office, sont fixés à CHF 3'300.- (émolument: CHF 3'000.-; débours: CHF 300.-). A.________ sera tenu de rembourser les 2/3, le solde étant laissé à la charge de l’Etat. III. L’indemnité due à Me Luc Esseiva, défenseur d’office de A.________, est fixée à CHF 3'706.55, TVA par CHF 274.55 comprise. En application de l’art. 135 al. 4 CPP, A.________ sera tenu de rembourser cette indemnité à l'Etat dès que sa situation financière le permettra. IV. Aucune indemnité au sens de l’art. 429 CPP n’est accordée à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août 2017/sag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