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107 vom 2. März 2018</w:t>
      </w:r>
    </w:p>
    <w:p>
      <w:r>
        <w:t>FR Kantonsgericht, 2018-03-02, FR</w:t>
      </w:r>
    </w:p>
    <w:p>
      <w:r>
        <w:rPr>
          <w:b/>
        </w:rPr>
        <w:t xml:space="preserve">Quelle: </w:t>
      </w:r>
      <w:r>
        <w:t>https://mcp.opencaselaw.ch/entscheid/fr_gerichte_501_2017_107</w:t>
      </w:r>
    </w:p>
    <w:p>
      <w:r>
        <w:t>FR: FR_GERICHTE 501 2017 107 du 2 mars 2018</w:t>
      </w:r>
    </w:p>
    <w:p>
      <w:r>
        <w:t>IT: FR_GERICHTE 501 2017 107 del 2 marzo 2018</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prévenue condamnée,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w:t>
      </w:r>
    </w:p>
    <w:p>
      <w:r>
        <w:t>Tribunal cantonal TC Page 4 de 12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 En l’espèce, il n’y a pas matière à aller au-delà de l’audition de la prévenue. Au demeurant, l’administration de nouvelles preuves n’est pas requise.</w:t>
      </w:r>
    </w:p>
    <w:p>
      <w:r>
        <w:rPr>
          <w:b/>
        </w:rPr>
        <w:t>E. 2.1</w:t>
      </w:r>
    </w:p>
    <w:p>
      <w:r>
        <w:t>L’appelante ne conteste pas les infractions qui lui sont reprochées, soit celles de tentative de vols en bande, vols en bande et par métier, violation de domicile et dommages à la propriété. Elle conteste en revanche la qualification juridique de sa participation à ces infractions. Le Tribunal a retenu qu’elle avait agi en qualité de coauteur. L’appelante soutient avoir agi uniquement comme complice.</w:t>
      </w:r>
    </w:p>
    <w:p>
      <w:r>
        <w:rPr>
          <w:b/>
        </w:rPr>
        <w:t>E. 2.2</w:t>
      </w:r>
    </w:p>
    <w:p>
      <w:r>
        <w:t>S’agissant de la notion de coauteur, la cour se réfère à l’exposé juridique effectué par le Tribunal (cf. jugement querellé, p. 15). En ce qui concerne le cas n. 1 (vol commis le 10 janvier 2014 à Biberist), la Cour constate que celui-ci, isolé, a été commis bien avant tous les autres cas, lesquels se situent, à intervalles réguliers rapprochés, entre le 15 novembre 2014 et le 15 mars 2015. Certes, lorsqu’ils ont commis le cas n. 1, les deux auteurs logeaient chez l’appelante. Toutefois, in dubio pro reo, en l’absence d’autres éléments quant au rôle joué par cette dernière, la Cour ne retiendra qu’un rôle de complice au sens de l’art. 25 CP. L’appel est partiellement admis sur ce point. S’agissant de la qualification du rôle joué par l’appelante en rapport avec les autres vols par effraction qui lui sont reprochés, la Cour se rallie aux motifs pertinents retenus par le Tribunal en pages 18 et 19 (sous rubrique coauteur et vols en bande) qu’elle fait siens (art. 82 al. 4 CPP) et qu’elle précise et complète comme suit: Le rôle actif important joué par la prévenue est également confirmé par les transcriptions des surveillances téléphoniques. Il ressort en effet de deux conversations datant du 9 mars 2015 (DO C 8302 et C 8304) qu’elle est non seulement parfaitement au courant du déroulement des opérations liées à la commission des cambriolages, mais qu’elle s’y implique personnellement en donnant des instructions sur la composition de la bande et en insistant sur le fait qu’elle a un urgent besoin d’argent. Une telle participation n’est pas celle d’une simple complice. Il s’ensuit le rejet de l’appel sur ce point.</w:t>
      </w:r>
    </w:p>
    <w:p>
      <w:r>
        <w:rPr>
          <w:b/>
        </w:rPr>
        <w:t>E. 3.1</w:t>
      </w:r>
    </w:p>
    <w:p>
      <w:r>
        <w:t>L’appelante conteste également de manière indépendante la quotité de la peine qui lui a été infligée, qu’elle juge trop sévère, et conclut à ce qu’une peine privative de liberté de 12 mois avec sursis complet pendant trois ans soit prononcée. Elle allègue qu’il faut tenir compte du fait qu’elle a déjà été suffisamment punie par la détention provisoire subie et par les conséquences sur sa famille. En définitive, elle invoque une violation de l'art. 47 CP.</w:t>
      </w:r>
    </w:p>
    <w:p>
      <w:r>
        <w:t>Tribunal cantonal TC Page 5 de 12</w:t>
      </w:r>
    </w:p>
    <w:p>
      <w:r>
        <w:rPr>
          <w:b/>
        </w:rPr>
        <w:t>E. 3.2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l'exécution d'un crime ou d'un délit en reste au stade de la tentative, le juge peut atténuer la peine (art. 22 al. 1 CP) et n'est alors pas lié par le minimum légal de la peine prévue pour l'infraction (art. 48a al. 1 CP). L'atténuation de la peine en application de l'art. 22 al. 1 CP est facultative. Toutefois, selon la jurisprudence, la peine doit de toute manière être réduite lorsque le résultat de l'infraction ne s'est pas produit. La mesure de cette atténuation dépend notamment de l’imminence du résultat ainsi que des conséquences effectives des actes commis. S'il n'y a pas</w:t>
      </w:r>
    </w:p>
    <w:p>
      <w:r>
        <w:t>Tribunal cantonal TC Page 6 de 12 lieu d'atténuer la peine en application de l'art. 48a CP, le juge doit tenir compte de l'absence de résultat dommageable, comme élément à décharge, dans le cadre de l'application de l'art. 47 CP (arrêt TF 6B_281/2013 du 16 juillet 2013 consid. 3.2.2). Il n'y a lieu de s'écarter du cadre légal ordinaire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(ATF 136 IV 55 consid. 5.8; arrêts TF 6B_230/2012 du 18 septembre 2012 consid. 3.2 et 6B_31/2011 du 27 avril 2011 consid. 3.4.1).</w:t>
      </w:r>
    </w:p>
    <w:p>
      <w:r>
        <w:rPr>
          <w:b/>
        </w:rPr>
        <w:t>E. 3.3</w:t>
      </w:r>
    </w:p>
    <w:p>
      <w:r>
        <w:t>Les premiers juges ont condamné A.________ à une peine privative de liberté de 18 mois, dont 9 mois ferme et 9 mois avec sursis durant 4 ans. Pour fixer cette peine, ils ont tenu compte de la gravité et de la pluralité des faits reprochés à A.________ qui a commis 17 infractions de vol par métier, 9 infractions de vol en bande, 17 infractions de dommages à la propriété et de violation de domicile, et un délit à la loi fédérale sur les étrangers, du fait que dans 7 cas l’infraction de vol en bande est restée au stade de la tentative malgré le fait que la prévenue avait déjà commis tous les actes nécessaires à la réalisation de l’infraction, et de sa pleine capacité pénale au moment de la commission des infractions. Le Tribunal a également tenu compte de la situation personnelle de la prévenue, du fait qu’elle avait la possibilité d’agir autrement et de gagner sa vie honnêtement, et du fait que sa participation a été essentielle et décisive dans le succès de la bande de sorte que sa culpabilité doit être qualifiée de lourde. Il a également relevé qu’elle ne figure pas au casier judiciaire suisse, qu’elle a eu une attitude peu coopérative durant l’instruction, voire dédaigneuse, et qu’elle n’aurait pas arrêté si elle et ses comparses ne s’étaient pas fait interpeller (cf. jugement querellé, p. 24 et 25). La Cour d’appel se rallie à la motivation pertinente et convaincante du Tribunal pénal, qu'elle fait sienne et s’y réfère expressément (art. 82 al. 4 CPP), sous réserve de ce qui suit: Compte tenu du fait que la Cour a considéré que seule la complicité devait être retenue pour le cas n. 1, une atténuation de la peine correspondant à cette infraction se justifie. De plus, s’agissant de sa situation personnelle, même si la prévenue a pu ne pas se montrer des plus coopératives parfois, la Cour retient tout de même qu’elle n’a pas contesté toute responsabilité pénale, mais uniquement l’importance de son rôle et la qualification juridique de son rôle dans la commission des infractions. En séance de ce jour, elle a en outre formulé des regrets par rapport aux actes commis. Ses capacités d’introspection ne sont donc pas nulles et l’appelante semble avoir la volonté de s’amender. Compte tenu de ces éléments, la Cour estime qu’une peine privative de liberté de 17 mois est adéquate pour sanctionner les agissements de A.________. L’appel est donc partiellement admis sur ce point.</w:t>
      </w:r>
    </w:p>
    <w:p>
      <w:r>
        <w:rPr>
          <w:b/>
        </w:rPr>
        <w:t>E. 4.1</w:t>
      </w:r>
    </w:p>
    <w:p>
      <w:r>
        <w:t>A.________ se plaint du fait que seul un sursis partiel lui a été accordé et requiert l’octroi d’un sursis total à l’exécution de sa peine avec un délai d’épreuve de 3 ans. Elle allègue qu’elle n’a aucun antécédent au casier judiciaire qu’elle exerce une activité lucrative et s’occupe de sa famille. Selon elle, rien ne s’oppose dès lors à l’octroi d’un sursis total, un pronostic hautement incertain n’étant pas établi.</w:t>
      </w:r>
    </w:p>
    <w:p>
      <w:r>
        <w:rPr>
          <w:b/>
        </w:rPr>
        <w:t>E. 4.2</w:t>
      </w:r>
    </w:p>
    <w:p>
      <w:r>
        <w:t>L'art. 42 CP dispose que le juge suspend en règle générale l'exécution d'une peine privative de liberté de deux ans au plus lorsqu'une peine ferme ne paraît pas nécessaire pour détourner</w:t>
      </w:r>
    </w:p>
    <w:p>
      <w:r>
        <w:t>Tribunal cantonal TC Page 7 de 12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Depuis 2007,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arrêt TF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(TF arrêt 6B_492/2008 du 19 mai 2009 consid. 3.1.1 et 3.1.3 non publiés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(cf. arrêt TF 6B_1013/2014 du 15 septembre 2015 consid. 4). 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w:t>
      </w:r>
    </w:p>
    <w:p>
      <w:r>
        <w:t>Tribunal cantonal TC Page 8 de 12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TF 6B_471/2009 du 24 juillet 2009 consid. 4.1 et les références citées).</w:t>
      </w:r>
    </w:p>
    <w:p>
      <w:r>
        <w:rPr>
          <w:b/>
        </w:rPr>
        <w:t>E. 4.3</w:t>
      </w:r>
    </w:p>
    <w:p>
      <w:r>
        <w:t>En l’espèce, les premiers juges ont retenu ce qui suit: « Comme cela figure ci-dessus, la faute de A.________ est grave. De plus, elle n’a fait preuve d’aucun amendement puisqu’elle persiste à nier son rôle actif et déterminant. Elle ne figure toutefois pas au casier judiciaire suisse, a un travail et est mariée et mère de deux filles adolescentes. Partant, en raison du fait qu’il n’y a pas lieu de retenir l’existence d’un pronostic défavorable à son égard, il convient d’assortir sa peine privative de liberté de 18 mois d’un sursis partiel de 9 mois » (cf. jugement querellé, p. 26). Dans sa motivation, le Tribunal constate qu’il n’y a pas de pronostic défavorable quant au comportement futur de l'auteur, ce qui le conduit à prononcer un sursis partiel. Ce raisonnement est toutefois erroné. En effet, comme on l’a vu (cf. supra consid. 4.2), lorsque, comme en l’espèce, le pronostic quant au comportement futur de l'auteur n'est pas défavorable et que la peine est telle qu’elle permette le choix entre le sursis complet et le sursis partiel, l'octroi du sursis au sens de l'art. 42 CP est la règle et le sursis partiel l'exception, à savoir que l’exception du sursis partiel ne se pose qu’en cas de pronostic très incertain. Ainsi, pour prononcer un sursis partiel, il faut établir un pronostic hautement incertain, ce que le Tribunal n’a toutefois pas examiné en l’espèce. Selon la jurisprudence précitée (cf. supra consid. 4.2), le pronostic est très incertain lorsqu’il existe des doutes très importants au sujet du comportement futur de l'auteur, notamment au vu de ses antécédents. En l’espèce, A.________ n’a aucun antécédent et l’extrait actualisé de son casier judiciaire ne fait état d’aucune nouvelle condamnation ou enquête en cours. En outre les infractions commises se sont déroulées sur une période relativement courte de sa vie. Près de trois ans se sont donc écoulés depuis la commission des faits qui lui sont reprochés sans que de nouvelles infractions n’aient été commises. De plus, sa situation personnelle, familiale et professionnelle stable plaide en sa faveur. En effet, elle vit avec son époux et ses deux filles dont elle s’occupe et exerce une activité professionnelle qui constitue la seule ressource du ménage en l’état actuel. Il convient également de relever que A.________ a fait deux mois de détention provisoire au début de l’enquête, ce qui a eu sur elle un effet choc et dissuasif suffisant pour lui faire prendre conscience de ses actes. En outre, il n’est pas exact de déclarer « qu’elle n’a fait preuve d’aucun amendement puisqu’elle a persisté à nier son rôle actif et déterminant » (cf. jugement querellé, p. 26). En effet, elle a admis avoir joué un rôle, même si elle le minimise, mais ne conteste pas toute culpabilité. Au contraire elle plaide coupable de complicité, à savoir une appréciation juridique différente, ce qui ne saurait en soi lui être reproché. Elle a en outre fait part à la Cour, en séance de ce jour, de ses regrets quant à son comportement et semble avoir pris conscience de la gravité de ses actes. Compte tenu de ces éléments, on ne saurait conclure à l’existence d’un pronostic très incertain quant au comportement futur de l’appelante, de sorte qu’il convient d’assortir sa peine privative de liberté de 17 mois du sursis total. Le délai d’épreuve doit être fixé au maximum légal de 5 ans (art. 44 al. 1 CP) afin de s’assurer de la volonté d’amendement de l’appelante et de palier à tout risque de récidive le plus efficacement possible. L’appel sera donc partiellement admis sur ce point.</w:t>
      </w:r>
    </w:p>
    <w:p>
      <w:r>
        <w:t>Tribunal cantonal TC Page 9 de 12</w:t>
      </w:r>
    </w:p>
    <w:p>
      <w:r>
        <w:rPr>
          <w:b/>
        </w:rPr>
        <w:t>E. 5.1</w:t>
      </w:r>
    </w:p>
    <w:p>
      <w:r>
        <w:t>L’appelante conclut à ce que les conclusions civiles ne soient pas retenues à sa charge, celles-ci n’étant pas valablement chiffrées. Elle allègue en particulier que le seul fait de se constituer partie civile lors du dépôt de plainte et de joindre une facture et la liste des dommages subis ne vaut pas prise de conclusions civiles formelles dans le cadre de la procédure pénale.</w:t>
      </w:r>
    </w:p>
    <w:p>
      <w:r>
        <w:rPr>
          <w:b/>
        </w:rPr>
        <w:t>E. 5.2</w:t>
      </w:r>
    </w:p>
    <w:p>
      <w:r>
        <w:t>Aux termes de l’art. 126 al. 2 CPP, le Tribunal renvoie la partie plaignante à agir par la voie civile lorsqu’elle n’a pas chiffré ses conclusions de manière suffisamment précise ou ne les a pas suffisamment motivées. C’est dès lors à tort qu’au chiffre V. 1. du dispositif le Tribunal a admis les conclusions civiles non chiffrées sur le principe avant de les renvoyer à la connaissance du juge civil. Celles-ci doivent en effet purement et simplement être renvoyées au juge civil, tant en ce qui concerne leur principe que leur montant. S’agissant des conclusions civiles prises par G.________, lesquelles ont été admises à hauteur de CHF 497.- (cf. dispositif ch. V. 3.), il faut constater que c’est par inadvertance que le Tribunal a considéré les montants mentionnés à titre d’exemple sur le modèle standard de la formule de police (CHF 168.- pour des créoles en or véritable et CHF 329.- pour un natel Nokia 3330) comme étant les objets dérobés lors de cette infraction. Aucune valeur chiffrée n’a été alléguée par la partie civile. Il s’ensuit le renvoi des conclusions civiles prises par G.________, à la connaissance du juge civil. S’agissant des autres conclusions civiles admises, la Cour constate que les lésés se sont constitués parties civiles et ont joint au dépôt de la plainte pénale des documents chiffrant leurs conclusions civiles et les justifiant de manière suffisante. Le CPP n’exige pas une nouvelle prise de conclusions formelles ultérieurement dans le courant de la procédure. Le jugement est confirmé s’agissant des ch. V. 2, 4, 5, 6, 7, 8 du dispositif.</w:t>
      </w:r>
    </w:p>
    <w:p>
      <w:r>
        <w:rPr>
          <w:b/>
        </w:rPr>
        <w:t>E. 6.1</w:t>
      </w:r>
    </w:p>
    <w:p>
      <w:r>
        <w:t>Selon l’art. 426 al. 1 CPP, le prévenu supporte les frais de la procédure – à l’exception des frais de défense d’office, sous réserve d’un retour à meilleure fortune (art. 135 al. 4 CPP) – s’il est condamné. Quant aux frais d’appel, ils sont à la charge des partie dans la mesure où elles ont obtenu gain de cause ou succombé (art. 428 al. 1 CPP); lorsqu’une décision plus favorable à la partie recourante est rendue, les frais peuvent néanmoins être mis à sa charge si la modification de la décision est de peu d’importance (art. 428 al. 2 let. b CPP). Si elle rend une nouvelle décision, l’autorité d’appel se prononce également sur les frais fixés par l’autorité inférieure (art. 428 al. 3 CPP). Dans la mesure où l’appelante ne conteste pas la répartition des frais de procédure de première instance, il n'y a pas lieu de modifier la répartition opérée par les premiers juges. S’agissant des frais de la procédure d’appel, celui-ci étant partiellement admis, il se justifie de mettre les 2/3 des frais judiciaires de la procédure d’appel à la charge de l’appelante et 1/3 de ceux-ci à la charge de l’Etat. Ils sont fixés à CHF 2’200.- conformément aux art. 424 CPP, 124 LJ, 33 à 35 et 43 RJ (émolument: CHF 2'000.-; débours: CHF 200.-), hors frais afférents à la défense d’office.</w:t>
      </w:r>
    </w:p>
    <w:p>
      <w:r>
        <w:rPr>
          <w:b/>
        </w:rPr>
        <w:t>E. 6.2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w:t>
      </w:r>
    </w:p>
    <w:p>
      <w:r>
        <w:t>Tribunal cantonal TC Page 10 de 12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 de l'indemnité de base (art. 58 RJ). Le taux de la TVA est de 8 % pour les opérations antérieures au 1er janvier 2018 et de 7.7 % pour les opérations postérieures (art. 25 al. 1 LTVA). Quant aux frais de déplacements en ville de Fribourg pour un avocat qui y a son étude, ils sont indemnisés par un forfait de CHF 30.- (art. 77 al. 4 RJ).</w:t>
      </w:r>
    </w:p>
    <w:p>
      <w:r>
        <w:rPr>
          <w:b/>
        </w:rPr>
        <w:t>E. 6.3</w:t>
      </w:r>
    </w:p>
    <w:p>
      <w:r>
        <w:t>En l'espèce, Me Sébastien Pedroli a été désigné défenseur d’office de A.________ par décision de la Présidente du Tribunal pénal du Lac du 8 août 2016 (DO 13'266 ss). Cette désignation vaut également pour la procédure d'appel. Sur la base de la liste de frais qu’il a produite aujourd’hui en séance, la Cour fait globalement droit aux honoraires demandés par Me Pedroli et retient qu’il a consacré utilement 15 heures (taux horaire de CHF 180.-) à la défense de sa cliente en appel, honoraires comprenant le temps consacré à la séance de ce jour ainsi que les opérations postérieures au jugement. Aux honoraires d’un montant de CHF 2'700.- s’ajoutent CHF 135.- pour les débours (5 %) et CHF 30.- pour les frais de vacation, calculés conformément à l’art. 77 al. 4 RJ. Ce montant est soumis à la TVA de 8 % pour les opérations antérieures au 1er janvier 2018 et de 7.7 % pour celles qui sont postérieures à cette date, soit CHF 223.90 au total, de sorte que l’indemnité du défenseur d’office de A.________, Me Sébastien Pedroli, pour la procédure d’appel, est fixée à CHF 3'088.90, TVA comprise. Le détail du calcul est joint en annexe. En application de l'art. 135 al. 4 CPP, A.________ sera tenue de rembourser les 2/3 de ce montant à l'Etat lorsque sa situation financière le permettra.</w:t>
      </w:r>
    </w:p>
    <w:p>
      <w:r>
        <w:rPr>
          <w:b/>
        </w:rPr>
        <w:t>E. 7</w:t>
      </w:r>
    </w:p>
    <w:p>
      <w:r>
        <w:t>Les conclusions civiles de L.________ SA sont admises.</w:t>
      </w:r>
    </w:p>
    <w:p>
      <w:r>
        <w:t>Tribunal cantonal TC Page 12 de 12 Partant, A.________, C.________ et D.________ sont condamnés à verser solidairement à L.________ SA la somme de CHF 3'872.90.</w:t>
      </w:r>
    </w:p>
    <w:p>
      <w:r>
        <w:rPr>
          <w:b/>
        </w:rPr>
        <w:t>E. 8</w:t>
      </w:r>
    </w:p>
    <w:p>
      <w:r>
        <w:t>Les conclusions civiles de M.________, se subrogeant à N.________, à I.________, sont admises. Partant, A.________, C.________ et E.________ sont condamnés à verser solidairement à M.________ la somme de CHF 4'186.00. » Pour le surplus, il est pris acte de l'entrée en force du jugement du 5 septembre 2016. II. En application de l’art. 428 al. 1 CPP, les 2/3 des frais de procédure d’appel dus à l’Etat sont mis à la charge de A.________. Ils sont fixés à CHF 2’200.- (émolument: CHF 2'000.-; débours: CHF 200.-). III. L'indemnité de défenseur d'office de Me Sébastien Pedroli pour la procédure d'appel est arrêtée à CHF 3'088.90, TVA par CHF 223.90 comprise. En application de l'art. 135 al. 4 CPP, A.________ sera tenue de rembourser les 2/3 de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 mars 2018/say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