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198 vom 14. März 2017</w:t>
      </w:r>
    </w:p>
    <w:p>
      <w:r>
        <w:t>FR Kantonsgericht, 2017-03-14, FR</w:t>
      </w:r>
    </w:p>
    <w:p>
      <w:r>
        <w:rPr>
          <w:b/>
        </w:rPr>
        <w:t xml:space="preserve">Quelle: </w:t>
      </w:r>
      <w:r>
        <w:t>https://mcp.opencaselaw.ch/entscheid/fr_gerichte_501_2016_198</w:t>
      </w:r>
    </w:p>
    <w:p>
      <w:r>
        <w:t>FR: FR_GERICHTE 501 2016 198 du 14 mars 2017</w:t>
      </w:r>
    </w:p>
    <w:p>
      <w:r>
        <w:t>IT: FR_GERICHTE 501 2016 198 del 14 marzo 2017</w:t>
      </w:r>
    </w:p>
    <w:p>
      <w:pPr>
        <w:pStyle w:val="Heading2"/>
      </w:pPr>
      <w:r>
        <w:t>Regeste</w:t>
      </w:r>
    </w:p>
    <w:p>
      <w:r>
        <w:t>Arrêt de la Cour d'appel pénal du Tribunal cantonal | Strafrecht</w:t>
      </w:r>
    </w:p>
    <w:p>
      <w:pPr>
        <w:pStyle w:val="Heading2"/>
      </w:pPr>
      <w:r>
        <w:t>Erwägungen</w:t>
      </w:r>
    </w:p>
    <w:p>
      <w:r>
        <w:rPr>
          <w:b/>
        </w:rPr>
        <w:t>E. 15</w:t>
      </w:r>
    </w:p>
    <w:p>
      <w:r>
        <w:t>décembre 2015, en ce sens qu’elle l’a condamné à une peine pécuniaire de 90 jours-amende, le montant du jour-amende étant fixé à CHF 40.-, sous déduction de deux jours-amende correspondant à la détention subie avant jugement. C. L’arrêt du 15 décembre 2015 a fait l’objet d’un recours au Tribunal fédéral déposé par le Ministère public. Il reprochait au jugement attaqué d’être trop clément et concluait à la réforme de l’arrêt en ce sens que A.________ soit condamné à une peine privative de liberté de six mois, sans sursis, sous déduction de deux jours de détention avant jugement. A titre subsidiaire, il demandait l’annulation de la décision querellée et le renvoi de la cause à l’autorité précédente pour nouvelle décision au sens des considérants. Par arrêt du 21 novembre 2016, le Tribunal fédéral a admis le recours du Ministère public. Il a annulé l'arrêt attaqué et renvoyé la cause à la Cour d'appel pénal pour nouvelle décision. D. Par courriers des 8 et 15 décembre 2016, les parties ont informé la direction de la procédure qu'elles ne s'opposaient pas à ce que la Cour d'appel pénal statue sans débats. Le Ministère public a alors déposé ses conclusions motivées relatives à la quotité de la peine le 22 décembre 2016. Quant au prévenu, il a déposé sa détermination le 3 janvier 2017. en droit 1.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(cf. ATF 104 IV 276 consid. 3d; arrêt TF 6B_187/2015 du 28 avril 2015 consid. 1.1.2). Des faits nouveaux ne peuvent être pris en considération que sur les points qui ont fait l'objet du renvoi, lesquels ne peuvent être ni étendus, ni fixés sur une base juridique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w:t>
      </w:r>
    </w:p>
    <w:p>
      <w:r>
        <w:t>Tribunal cantonal TC Page 3 de 8 devant le Tribunal fédéral (cf.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(cf. arrêt TF 6B_977/2008 du 5 février 2009 consid. 4.1.1). En l'espèce, dès lors que la qualification d’entrave à l’action pénale n'a pas été attaquée par- devant le Tribunal fédéral, elle est définitive et exécutoire. Il en va de même en ce qui concerne le sort du montant de CHF 1'399.10 séquestré, ainsi que la question des frais et l’indemnité du conseil d’office. Seule reste litigieuse à la suite de l'arrêt de renvoi du Tribunal fédéral la quotité de la peine. 2. a) Dans son arrêt du 15 décembre 2015, la Cour de céans avait condamné l'appelant à une peine pécuniaire ferme de 90 jours-amende, le montant du jour-amende étant fixé à CHF 40.-, sous déduction de deux jours-amende correspondant à la détention subie avant jugement. La quotité de la peine a été critiquée par le Ministère public par-devant le Tribunal fédéral. Au vu des griefs du Ministère public, le Tribunal fédéral a considéré ce qui suit (cf. arrêt TF 6B_84/2016 du 21 novembre 2016 consid. 2.7.2): L’entrave à l’action pénale est passible d’une peine privative de liberté de trois ans au plus ou d’une peine pécuniaire (cf. art. 305 al. 1 CP). En l’espèce, le recourant n’a pas hésité à aider des fugitifs dangereux à se soustraire à la justice, en les hébergeant et en les aidant à subsister durant plus de deux semaines, alors même qu’il se trouvait en libération conditionnelle. Il a commis ces faits par appât du gain, alors qu’il aurait été facile pour lui de les éviter puisqu’aucune menace n’était exercée sur lui lorsqu’il a communiqué son adresse aux fugitifs et le chemin pour s’y rendre. Il a en outre des antécédents. Les seuls liens personnels et d’amitié que l’intimé entretenait avec B.________ retenus en sa faveur par la cour cantonale, ne font pas contre-poids aux autres éléments qui lui sont défavorables. Dans ces circonstances et à s’en tenir à ces constatations de fait, dont le caractère arbitraire n’a pas été allégué ni démontré par l’intimé (cf. art. 105 al. 1 LTF), force est d’admettre que la peine pécuniaire de 90 jours-amende qui a été infligée à ce dernier – qui entre dans les premiers degrés de l’échelle des sanctions envisageables pour une infraction à l’art. 305 CP – apparaît insuffisante et doit être qualifiée d’abusivement clémente. b)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w:t>
      </w:r>
    </w:p>
    <w:p>
      <w:r>
        <w:t>Tribunal cantonal TC Page 4 de 8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(cf. arrêt TF 6B_823/2007 du 4 mars 2008 consid. 2 et les références citées). L'art. 47 CP est violé si le juge ne considère pas les critères susmentionnés ou si la peine est dictée par des considérations étrangères à cette norme (cf. ATF 134 IV 17 consid. 2.1; 116 IV 288 consid. 2b). A titre de sanctions, le nouveau droit fait de la peine pécuniaire (art. 34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(cf. ATF 134 IV 97 consid. 4). c) En l’espèce, A.________ a hébergé des fugitifs dans son propre chalet et a ensuite mis à disposition de ces derniers une autre habitation qu’il avait louée à son nom. Toujours dans le dessein de venir en aide aux malfrats et plus précisément à B.________, fugitif dont il avait fait la connaissance alors qu’il était lui-même en détention, A.________ a également effectué des achats, apporté pour leur compte de l’argent à un individu qui se trouvait en France et véhiculé B.________ à deux reprises (cf. DO F 14 7050/2000). Dans la mesure où l’aide précieuse apportée aux dangereux délinquants avait déjà durée plus de deux semaines et que cette dernière a pris fin au motif que A.________ et B.________ ont été interpellés par la police dans le véhicule du premier cité (cf. DO 50 2015 4, p.-v. du 29 mai 2015 p. 1-2; DO F 14 7050/ 2007bis), on ne saurait retenir que l’entrave à la justice pénale a été de courte durée. Ceci d’autant plus que rien ne prouve que l’appelant avait prévu de mettre fin à ses agissements ou qu’il prévoyait d’avertir les autorités. En outre, étant entendu que A.________ connaissait la dangerosité de B.________ et de ses comparses, d’une part pour avoir côtoyé le fugitif susmentionné en prison et d’autre part, pour avoir eu connaissance des moyens que les complices de son ami avaient déployés pour mener à bien l’évasion (cf. DO F 14 7050/ 2007), il sied de retenir que A.________ était conscient</w:t>
      </w:r>
    </w:p>
    <w:p>
      <w:r>
        <w:t>Tribunal cantonal TC Page 5 de 8 des risques qu’impliquait pour la sécurité publique le concours qu’il prêtait à ces criminels endurcis. Au vu de ce qui précède, la culpabilité objective de l’appelant doit être qualifiée de moyenne. Sur le plan subjectif, le comportement du prévenu est blâmable. En effet, bien que A.________ explique avoir été menacé par son ancien acolyte, force est de constater que lorsqu’il a été contacté par les fugitifs, ce dernier leur a sciemment donné son adresse et les indications nécessaires pour qu’ils trouvent leur chemin (cf. DO 50 2015 4, p.-v. du 29 mai 2015 p. 1). Etant entendu que B.________ et ses comparses ignoraient la localisation de l’appelant, il aurait été loisible au précité d’éviter de prêter son concours à la fuite des criminels. En outre, ayant d’ores et déjà eu affaire à la justice et étant conscient que la libération conditionnelle dont il bénéficiait était susceptible d’être révoquée, ce dont il avait déjà fait l’expérience, il y a lieu de retenir que A.________ a pris part à l’activité délictuelle en connaissance de cause. B.________ ayant promis une récompense pécuniaire au prévenu (cf. DO F 14 7050/ 2007bis, 2008), cette décision a en outre été motivée par l’appât du gain. Le comportement de A.________ a donc été guidé par un mobile futile et ce dernier aurait aisément pu être évité, de sorte que la culpabilité subjective de l’appelant doit être qualifiée de lourde. En ce qui concerne les facteurs en lien avec l’auteur, les lourds antécédents de A.________, qui ont motivé une peine de réclusion à vie, et sa dernière condamnation pour conduite en état d’incapacité, alors qu’il était en libération conditionnelle, ne plaident pas en sa faveur. Quant au type de peine qu’il convient de privilégier pour A.________, force est de constater qu’au vu de ses antécédents et de la dangerosité des malfrats qu’il a sciemment aidé à se soustraire à la justice pénale, malgré les risques que cela pouvait impliquer, une peine privative de liberté est appropriée dans le cas d’espèce. En effet, les faits imputés à A.________ et le contexte dans lequel ils s’inscrivent dépassent le domaine de la petite à moyenne criminalité. Compte tenu de tous ces éléments, la peine justifiée pour sanctionner l’entrave à l’action pénale est une peine privative de liberté de 6 mois. La Cour considère que cette sanciton, située dans la partie inférieure du cadre légal qui va d'une peine pécuniaire à une peine privative de liberté de trois ans au plus, prend en considération la culpabilité du prévenu et les liens d’amitié que ce dernier entretenait avec B.________. c)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En vertu de l'art. 42 al. 2 CP, si, durant les cinq ans qui précèdent l'infraction, l'auteur a été condamné à une peine privative de liberté ferme ou avec sursis de six mois au moins, ou à une peine pécuniaire de 180 jours-amende au moins, il ne peut y avoir de sursis à l'exécution de la</w:t>
      </w:r>
    </w:p>
    <w:p>
      <w:r>
        <w:t>Tribunal cantonal TC Page 6 de 8 peine qu'en cas de circonstances particulièrement favorables. Dans ce dernier cas, la présomption d'un pronostic favorable, respectivement du défaut d'un pronostic défavorable, ne s'applique plus, la condamnation antérieure constituant un indice faisant craindre que l'auteur puisse commettre d'autres infractions (cf. ATF 134 IV 1 consid. 4.2.3; arrêt TF 6B_18/2013 du 1er juillet 2013 consid. 4).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(cf. ATF 134 IV 1 consid. 4.2.3 p. 6 s.). d) En l’espèce, il ressort du casier judiciaire de A.________ que la seule condamnation dont il se soit rendu coupable dans les cinq ans qui ont précédé la commission de l’entrave à l’action pénale portait sur une infraction à la législation sur la circulation routière, commise le 28 juillet 2011 et sanctionnée par une peine pécuniaire de 45 jours-amende. S’agissant d’une peine inférieure à 180 jours-amende, les conditions d’application de l’art. 42 al. 2 CP ne sont donc pas réunies. Il convient dès lors d’examiner le pronostic quant au comportement futur de l'auteur au sens de l’art. 42 al. 1 CP. A cet égard, la Cour retiendra que nonobstant les antécédents de prévenu qui ont justifié une condamnation à la réclusion à vie, dans la mesure où A.________ s’est vu révoquer sa libération conditionnelle à deux reprises pour non-respect des conditions auxquelles il était soumis et étant entendu que ce dernier persiste à faire fi de ses problèmes liés à l’alcool (cf. arrêt TF 6B_720/2014 du 17 novembre 2014 consid. 3.1 et 3.3), un pronostic défavorable doit être posé. Partant, le sursis ne saurait être accordé à A.________. 3.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de A.________ est rejeté, à savoir que la condamnation pour entrave à l’action pénale et la quotité de la peine ont été confirmés. Il n'y a par conséquent pas lieu de modifier la répartition des frais de la procédure de première instance. Quant aux frais de la première phase de la procédure d'appel, ils ont été mis à la charge de l’appelant à raison des 2/3 et ce point n’a pas été contesté, de sorte qu’il est entré en force. En ce qui concerne enfin les frais pour la seconde phase de la procédure d'appel, on relèvera qu'elle est due au fait que le Tribunal fédéral a estimé que la Cour de céans avait mal appliqué le droit fédéral, circonstance dont il serait mal venu de faire supporter les coûts au prévenu. Il se justifie par conséquent de dire que les frais afférant à cette partie de la procédure d'appel sont laissés à la charge de l'Etat. Pour la seconde phase de la procédure d'appel, les frais judiciaires sont fixés à CHF 1'100.- (émolument: CHF 1'000.-; débours fixés forfaitairement à CHF 100.-). b)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w:t>
      </w:r>
    </w:p>
    <w:p>
      <w:r>
        <w:t>Tribunal cantonal TC Page 7 de 8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Les frais de déplacement, englobant tous les frais (transports, repas, etc.) ainsi que le temps y consacré, sont fixés conformément aux art. 76 ss RJ. Enfin, le taux de la TVA est de 8 % pour les opérations postérieures au 1er janvier 2011 (art. 25 al. 1 LTVA). Par arrêt du 15 décembre 2015, l'indemnité équitable due à Me Jean Lob pour la défense du prévenu en procédure d'appel a été fixée à CHF 1'771.20. Cette décision est définitive et exécutoire. Pour la deuxième phase de l'appel, les opérations relatées dans la liste de frais de Me Jean Lob, mandataire d'office du prévenu, correspondent aux critères d'une défense adaptée aux enjeux. Elles peuvent donc être retenues. La Cour y ajoute le temps nécessaire pour l'étude du présent arrêt et son explication au client, portant ainsi le total à 6 heures. Au tarif horaire de CHF 180.-, les honoraires s'élèvent à CHF 1’080.-. Il faut y ajouter les débours, par CHF 54.- et la TVA, par CHF 90.70. L’indemnité de défenseur d'office octroyée à Me Jean Lob doit dès lors être fixée, pour la seconde phase de l'appel, au montant global de CHF 1'224.70, TVA comprise. c) L'appelant bénéficiant d'un défenseur d'office, il n'y a pas de place pour une indemnité au sens de l'art. 429 CPP (cf. ATF 139 IV 241 consid. 1). la Cour arrête: A. L’appel est rejeté. B. Il est pris acte de l'entrée en force des chiffres I/1 et I/3 à I/5, II et III de l'arrêt de la Cour d'appel pénal du 15 décembre 2015 dans la teneur suivante: "I. Le chiffre 1 du jugement du Juge de police de l'arrondissement de la Veveyse du 29 mai 2015 est confirmé dans la teneur suivante: 1. A.________ est reconnu coupable d'entrave à l'action pénale. Pour le surplus, il est pris acte de l'entrée en force des chiffres 3 à 5 du dispositif du jugement du Juge de police de l'arrondissement de la Veveyse du 29 mai 2015, dans la teneur suivante: 3. En application de l'art. 70 al. 1 CP, le montant de CHF 1'399.10 séquestré le 28 août 2013 est confisqué et sera dévolu à l'Etat. 4. En application de l'art. 426 al. 1 CPP, les frais de procédure sont mis à la charge de A.________. Ils sont fixés à CHF 750.-, dont CHF 600.- pour l'émolument. 5. La liste de frais du défenseur d'office s'élève à CHF 3'631.50 (honoraires CHF 2'600.-, débours CHF 762.50, TVA CHF 269.-). II. Les frais de la procédure d'appel, hors indemnité du défenseur d'office, sont fixés à CHF 1'100.- (émolument: CHF 1'000.-; débours: CHF 100.-).</w:t>
      </w:r>
    </w:p>
    <w:p>
      <w:r>
        <w:t>Tribunal cantonal TC Page 8 de 8 Ils seront assumés par A.________ à raison des 2/3, le solde étant laissé à la charge de l'Etat. III. L'indemnité de défenseur d'office de A.________ due à Me Jean Lob pour l'appel est fixée à CHF 1'771.20, TVA par CHF 131.20 comprise. En application de l'art. 135 al. 4 CPP, A.________ sera tenu de rembourser les 2/3 de cette indemnité à l'Etat dès que sa situation financière le permettra. C. A.________ est condamné à une peine privative de liberté de 6 mois, sans sursis, sous déduction de 2 jours de détention avant jugement subie. D. Les frais de la seconde phase de la procédure d'appel, hors indemnité du défenseur d'office, fixés à CHF 1'100.- (émolument: CHF 1'000.-; débours: CHF 100.-), sont laissés à la charge de l'Etat. L'indemnité de défenseur d'office de A.________ due à Me Jean Lob pour la seconde phase de la procédure d'appel est fixée CHF1'224.70, TVA par CHF 90.70 comprise. Il n'est pas alloué à A.________ d'indemnité au sens de l'art. 429 al. 1 CPP. E.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14 mars 2017/sag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