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123 vom 25. Januar 2017</w:t>
      </w:r>
    </w:p>
    <w:p>
      <w:r>
        <w:t>FR Kantonsgericht, 2017-01-25, FR</w:t>
      </w:r>
    </w:p>
    <w:p>
      <w:r>
        <w:rPr>
          <w:b/>
        </w:rPr>
        <w:t xml:space="preserve">Quelle: </w:t>
      </w:r>
      <w:r>
        <w:t>https://mcp.opencaselaw.ch/entscheid/fr_gerichte_501_2016_123</w:t>
      </w:r>
    </w:p>
    <w:p>
      <w:r>
        <w:t>FR: FR_GERICHTE 501 2016 123 du 25 janvier 2017</w:t>
      </w:r>
    </w:p>
    <w:p>
      <w:r>
        <w:t>IT: FR_GERICHTE 501 2016 123 del 25 gennaio 2017</w:t>
      </w:r>
    </w:p>
    <w:p>
      <w:pPr>
        <w:pStyle w:val="Heading2"/>
      </w:pPr>
      <w:r>
        <w:t>Regeste</w:t>
      </w:r>
    </w:p>
    <w:p>
      <w:r>
        <w:t>Arrêt de la Cour d'appel pénal du Tribunal cantonal | Strafrecht</w:t>
      </w:r>
    </w:p>
    <w:p>
      <w:pPr>
        <w:pStyle w:val="Heading2"/>
      </w:pPr>
      <w:r>
        <w:t>Erwägungen</w:t>
      </w:r>
    </w:p>
    <w:p>
      <w:r>
        <w:rPr>
          <w:b/>
        </w:rPr>
        <w:t>E. 2</w:t>
      </w:r>
    </w:p>
    <w:p>
      <w:r>
        <w:t>grammes. En revanche, il a nié avoir commandé une quantité de 500 grammes. Tout au long de l’enquête, notamment durant les audiences de confrontation face à D.________, A.________ a nié son implication dans la commande de 500 grammes de cocaïne. [Finalement,], devant le Tribunal de céans, A.________ a reconnu la possibilité de s’être procuré environ 70 grammes de cocaïne auprès de D.________ entre avril 2014 et mars 2015 » (cf. jugement entrepris, ch. I, p. 3). Sur la base de cet état de faits, les premiers juges ont retenu (cf. jugement attaqué, ch. II, p. 6 s), d’une part, que A.________ a fait l’acquisition d’environ 70 grammes de cocaïne en l’espace d’une année pour sa consommation personnelle et, d’autre part, qu’il a commandé 500 grammes de cocaïne, à un prix oscillant entre CHF 48.- et CHF 50.- le gramme, à E.________, par l’entremise de D.________. Le Tribunal pénal a considéré pour le surplus qu’au vu de la quantité de cocaïne en cause, qui représente plus de sept fois la consommation de A.________ en une année, il ne faisait aucun doute que la marchandise commandée était destinée à la revente. B. A.________ a annoncé l'appel le 27 juin 2016. Le jugement entièrement rédigé lui a été notifié le 11 juillet 2016, par l’entremise de son défenseur. Le 29 juillet 2016, A.________ a déposé une déclaration d'appel motivée contre le jugement du 22 juin 2016. A titre principal, il conclut à l’admission de son appel, en ce sens qu’il soit reconnu coupable de contravention à la LStup exclusivement, respectivement acquitté du chef de prévention de crime à la LStup et, partant, condamné à une amende de CHF 2'500.-. A titre subsidiaire, il conclut à l’admission de son appel, en ce sens qu’il soit condamné à une peine privative de liberté de 24 mois, avec sursis pendant</w:t>
      </w:r>
    </w:p>
    <w:p>
      <w:r>
        <w:rPr>
          <w:b/>
        </w:rPr>
        <w:t>E. 5</w:t>
      </w:r>
    </w:p>
    <w:p>
      <w:r>
        <w:t>L’appelant sollicite une peine compatible avec le sursis complet. a) En l'espèce, compte tenu de la quotité de la peine prononcée, soit une peine privative de liberté de 32 mois, seul le sursis partiel entre en considération. Selon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à la libération conditionnelle (art. 86 CP) ne lui sont pas applicables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b) En l'espèce, la Cour retient que le pronostic quant au comportement futur du prévenu ne saurait être qualifié de défavorable, de sorte qu’il doit être mis au bénéfice du sursis partiel. Ceci étant, compte tenu de l’interdiction de la reformatio in pejus, la partie à exécuter doit être arrêtée à</w:t>
      </w:r>
    </w:p>
    <w:p>
      <w:r>
        <w:rPr>
          <w:b/>
        </w:rPr>
        <w:t>E. 6</w:t>
      </w:r>
    </w:p>
    <w:p>
      <w:r>
        <w:t>L’appel est ainsi rejeté. L’appelant succombant dans la procédure, il ne saurait prétendre à une indemnité équitable au sens des art. 429 al. 1 et 436 al. 1 CPP.</w:t>
      </w:r>
    </w:p>
    <w:p>
      <w:r>
        <w:rPr>
          <w:b/>
        </w:rPr>
        <w:t>E. 7</w:t>
      </w:r>
    </w:p>
    <w:p>
      <w:r>
        <w:t>Selon l'art. 426 al. 1 CPP, le prévenu condamné supporte les frais de procédure de première instance – à l'exception des frais de défense d'office, sous réserve d'un retour ultérieur à meilleure fortune (art. 135 al. 4 CPP). Quant aux frais d'appel, ils sont à la charge des parties dans la mesure où elles ont obtenu gain de cause ou succombé (art. 428 al. 1 CPP). a) Vu le sort de l’appel, les frais judiciaires de la procédure d’appel doivent être mis à la charge de l’appelant. Ils sont fixés à CHF 3’300.-, soit un émolument de CHF 3’000.- ainsi que les</w:t>
      </w:r>
    </w:p>
    <w:p>
      <w:r>
        <w:t>Tribunal cantonal TC Page 14 de 15 débours effectifs par CHF 300.- (art. 422 ss CPP et 33 à 35 et 43 RJ), hors frais afférents à la défense d’office. b) Les débours comprennent notamment les frais imputables à la défense d'office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En l'espèce, Me Yann Oppliger a été désigné défenseur d’office de A.________ par décision du 3 août 2016 rendue par le Président de la Cour, avec effet rétroactif au 29 juillet 2016, jour du dépôt de la requête.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qui englobe tous les frais (transport, repas, perte de temps, etc.) sur la base d'un tableau des distances annexé au RJ (art. 76 et 77 al. 1 et 2 RJ). Pour les déplacements à l'intérieur de la localité où est située l'étude, l'indemnité aller-retour est fixée forfaitairement à CHF 30.-. Enfin, le taux de la TVA est de 8 % pour les opérations postérieures au 1er janvier 2011 (art. 25 al. 1 LTVA). En l’espèce, sur la base des indications qu’il a données ce jour par téléphone, la Cour retient que Me Yann Oppliger a consacré utilement 13 heures et 15 min à la défense de son mandant, honoraires comprenant le temps consacré à la séance de ce jour et une heure pour les opérations post-jugement. Aux honoraires d’un montant de CHF 2’385.- (13.25 x CHF 180.-/h) s’ajoutent CHF 119.25 pour les débours (5 % de 2’385), CHF 120.- pour les vacations et CHF 209.95 pour la TVA. L’indemnité du défenseur d’office de A.________, Me Yann Oppliger, pour la procédure d’appel est par conséquent fixée à CHF 2'834.20. En application de l’art. 135 al. 4 CPP, A.________ sera tenu de rembourser à l’Etat ce montant dès que sa situation financière le permettra. la Cour arrête: I. L’appel est rejeté. Partant, le jugement rendu le 22 juin 2016 par le Tribunal pénal de l’arrondissement de la Veveyse est confirmé dans la teneur suivante: 1. A.________ est reconnu coupable de crime et contravention à la loi fédérale sur les stupéfiants. 2. En application des art. 40, 42, 43, 44, 47, 105 al. 1, 106 CP, 19 al. 2 et 19a LStup, A.________ est condamné: - à une peine privative de liberté de 32 mois, dont 26 mois avec sursis pendant 5 ans et 6 mois ferme. - au paiement d'une amende de Fr. 2'500.--.</w:t>
      </w:r>
    </w:p>
    <w:p>
      <w:r>
        <w:t>Tribunal cantonal TC Page 15 de 15 3. En application de l’art. 426 al. 1 CPP, les frais de procédure sont mis à la charge de A.________. Ils sont fixés à Fr. 800.-- pour l’émolument et Fr. 200.-- pour les débours, soit Fr. 1'000.-- au total. 4. En cas de non-paiement de l'amende dans le délai qui sera fixé dans la liste de frais et si celle-ci est inexécutable par la voie de la poursuite pour dettes, elle fera place à 25 jours de peine privative de liberté (art. 105 al. 1, 106 al. 2 CP). II. En application de l’art. 428 al. 1 CPP, les frais de procédure d’appel sont mis à la charge de A.________. Ils sont fixés à CHF 3’300.- (émolument: CHF 3’000.-; débours: CHF 300.-, hors frais de défense d’office). III. L’indemnité du défenseur de A.________, Me Yann Oppliger, pour la procédure d’appel est arrêtée à CHF 2'834.20, dont CHF 209.95 de TVA. En application de l’art. 135 al. 4 CPP A.________ sera tenu de rembourser ce montant à l’Etat dès que sa situation financière le permettra. IV. Aucune indemnité au sens des art. 429 et 436 CPP n’est allouée à A.________. V. Communication. Cet arrêt peut faire l'objet d'un recours en matière pénale au Tribunal fédéral dans les trente jours qui suivent la notification de l'expédition complète.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sa notification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25 janvier 2017/lda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