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22 vom 30. Mai 2016</w:t>
      </w:r>
    </w:p>
    <w:p>
      <w:r>
        <w:t>FR Kantonsgericht, 2016-05-30, FR</w:t>
      </w:r>
    </w:p>
    <w:p>
      <w:r>
        <w:rPr>
          <w:b/>
        </w:rPr>
        <w:t xml:space="preserve">Quelle: </w:t>
      </w:r>
      <w:r>
        <w:t>https://mcp.opencaselaw.ch/entscheid/fr_gerichte_501_2015_22</w:t>
      </w:r>
    </w:p>
    <w:p>
      <w:r>
        <w:t>FR: FR_GERICHTE 501 2015 22 du 30 mai 2016</w:t>
      </w:r>
    </w:p>
    <w:p>
      <w:r>
        <w:t>IT: FR_GERICHTE 501 2015 22 del 30 maggio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25 novembre 2014 le</w:t>
      </w:r>
    </w:p>
    <w:p>
      <w:r>
        <w:rPr>
          <w:b/>
        </w:rPr>
        <w:t>E. 3</w:t>
      </w:r>
    </w:p>
    <w:p>
      <w:r>
        <w:t>a) Selon l'art. 426 al. 1 CPP, le prévenu supporte les frais de procédure s'il est condamné; dans le cas contraire, l'art. 423 al. 1 CPP prévoit qu'ils sont supportés par le canton.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le sort de l'appel et l'acquittement du prévenu, les frais de première instance, par CHF 1'000.- (jugement attaqué, p. 8), et d'appel, fixés à CHF 3'300.- (émolument : CHF 3'000.-; débours : CHF 300.- forfaitaires), seront laissés à la charge de l'Etat. b) Aux termes de l’art. 429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Cette disposition légale est également applicable en appel (art. 436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arrêt TF 1B_536/2012 du 9 janvier 2013 consid. 2.2). En l’espèce, l’appelant était prévenu de délit à la loi sur les forêts, qui pouvait être sanctionné d'une peine privative de liberté pouvant aller jusqu'à un an. Le cas d’espèce posait en outre des questions de fait et de droit non dénuées de difficulté. Le recours à un avocat se justifiait donc pleinement, quand bien même le prévenu n'a en fait été condamné qu'à une peine pécuniaire légère. Les frais encourus à ce titre doivent dès lors être indemnisés. Conformément à l’art. 75a al. 2 du règlement fribourgeois du 30 novembre 2010 sur la justice (RJ; RSF 130.11), la fixation des honoraires et débours d’avocat et d’avocate dus au titre d’indemnité a lieu sur la base d’un tarif horaire de CHF 250.-. Selon les listes de frais produites, l'appelant réclame pour la première instance un total de quelque 40 heures (DO 13120-1) et pour l'appel environ 25 heures. La Cour relève que la Juge de police a tenu trois audiences, d'une durée cumulée de 5 heures environ (DO 13047-8, 13080-3 et 13117); il convient d'y ajouter un temps similaire pour les entretiens avec le client, et une dizaine d'heures pour la préparation de ces audiences et l'étude du jugement. En appel, une vingtaine d'heures semble raisonnable, compte tenu de la rédaction d'un appel motivé de 17 pages, de la séance de la Cour qui a duré 2 heures et du temps nécessaire à la préparation de celle-ci – le dossier étant déjà connu – et à la prise de connaissance de l'arrêt de la Cour. Un total de 40 heures sera dès lors admis, ce qui représente des honoraires à hauteur de CHF 10'000.-. Il faut y ajouter les débours, qui peuvent être arrêtés</w:t>
      </w:r>
    </w:p>
    <w:p>
      <w:r>
        <w:t>Tribunal cantonal TC Page 9 de 9 forfaitairement à CHF 500.- (5 % de CHF 10'000.-), et la TVA, par CHF 840.- (8 % de CHF 10'500.-). Partant, le montant total de l’indemnité est de CHF 11'340.-. la Cour arrête: I. L'appel est admis. II. A.________ est acquitté du chef de prévention de délit à la loi sur les forêts. III. En application des art. 423 et 428 CPP, les frais de procédure sont laissés à la charge de l'Etat. Ils sont fixés à CHF 1'000.- pour la première instance et à CHF 3'300.- (émolument: CHF 3'000.-; débours: CHF 300.-) pour l'appel. IV. Pour les deux instances, il est alloué à A.________, à la charge de l'Etat, une indemnité totale de CHF 11'340.-, TVA incluse par CHF 840.-, pour les dépenses obligatoires occasionnées par l'exercice raisonnable de ses droits de procédure, au sens des art. 429 et 436 CPP.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2016/dbe/lfa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