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14 vom 16. April 2015</w:t>
      </w:r>
    </w:p>
    <w:p>
      <w:r>
        <w:t>FR Kantonsgericht, 2015-04-16, FR</w:t>
      </w:r>
    </w:p>
    <w:p>
      <w:r>
        <w:rPr>
          <w:b/>
        </w:rPr>
        <w:t xml:space="preserve">Quelle: </w:t>
      </w:r>
      <w:r>
        <w:t>https://mcp.opencaselaw.ch/entscheid/fr_gerichte_501_2015_14</w:t>
      </w:r>
    </w:p>
    <w:p>
      <w:r>
        <w:t>FR: FR_GERICHTE 501 2015 14 du 16 avril 2015</w:t>
      </w:r>
    </w:p>
    <w:p>
      <w:r>
        <w:t>IT: FR_GERICHTE 501 2015 14 del 16 aprile 2015</w:t>
      </w:r>
    </w:p>
    <w:p>
      <w:pPr>
        <w:pStyle w:val="Heading2"/>
      </w:pPr>
      <w:r>
        <w:t>Regeste</w:t>
      </w:r>
    </w:p>
    <w:p>
      <w:r>
        <w:t>Arrêt de la Cour d'appel pénal du Tribunal cantonal | Revision (Art. 410 à 415 StPO)</w:t>
      </w:r>
    </w:p>
    <w:p>
      <w:pPr>
        <w:pStyle w:val="Heading2"/>
      </w:pPr>
      <w:r>
        <w:t>Erwägungen</w:t>
      </w:r>
    </w:p>
    <w:p>
      <w:r>
        <w:rPr>
          <w:b/>
        </w:rPr>
        <w:t>E. 1</w:t>
      </w:r>
    </w:p>
    <w:p>
      <w:r>
        <w:t>La signalisation en question telle que présentée dans le rapport de dénonciation du 1er octobre 2014 n’a pas été autorisée par l’Etat de Fribourg, respectivement le SPC.</w:t>
      </w:r>
    </w:p>
    <w:p>
      <w:r>
        <w:rPr>
          <w:b/>
        </w:rPr>
        <w:t>E. 2</w:t>
      </w:r>
    </w:p>
    <w:p>
      <w:r>
        <w:t>L’absence d’autorisation du SPC de ladite signalisation ne veut pas dire pour autant qu’une interdiction de circulation n’a jamais été valablement prononcée. Il incombe toutefois à l’autorité d’instruction de s’en enquérir auprès des potentielles autorités concernées, principalement la Justice de paix, district de la Gruyère. Subsidiairement</w:t>
      </w:r>
    </w:p>
    <w:p>
      <w:r>
        <w:rPr>
          <w:b/>
        </w:rPr>
        <w:t>E. 3</w:t>
      </w:r>
    </w:p>
    <w:p>
      <w:r>
        <w:t>Attendu qu’il s’agit d’une route de type mixte (forestière et agricole) et que le requérant l’a empruntée pour une activité de chasse, l’activité de chasseur n’est pas conforme à la législation sur les forêts applicable pour justifier de l’usage d’un véhicule à moteur. Partant le requérant ne peut pas se prévaloir d’une qualité d’ayant droit.</w:t>
      </w:r>
    </w:p>
    <w:p>
      <w:r>
        <w:rPr>
          <w:b/>
        </w:rPr>
        <w:t>E. 4</w:t>
      </w:r>
    </w:p>
    <w:p>
      <w:r>
        <w:t>Pour la procédure de révision, les frais de justice, par 401 francs (émolument: 300 francs; débours: 101 francs), seront mis à la charge de l’État. (dispositif en page suivante)</w:t>
      </w:r>
    </w:p>
    <w:p>
      <w:r>
        <w:t>Tribunal cantonal TC Page 7 de 7 la Cour arrête: I. La demande de révision est admise. Partant, l’ordonnance pénale du 31 octobre 2014 (PBA/GEG F 14 9676) est annulée et la cause renvoyée au Ministère public pour nouvelle décision. II. Les frais de procédure, fixés à 401 francs (émolument: 300 francs; débours: 101 francs), sont laissés à la charge de l’Etat.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16 avril 2015/are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