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2015 108 vom 8. August 2016</w:t>
      </w:r>
    </w:p>
    <w:p>
      <w:r>
        <w:t>FR Kantonsgericht, 2016-08-08, FR</w:t>
      </w:r>
    </w:p>
    <w:p>
      <w:r>
        <w:rPr>
          <w:b/>
        </w:rPr>
        <w:t xml:space="preserve">Quelle: </w:t>
      </w:r>
      <w:r>
        <w:t>https://mcp.opencaselaw.ch/entscheid/fr_gerichte_501_2015_108</w:t>
      </w:r>
    </w:p>
    <w:p>
      <w:r>
        <w:t>FR: FR_GERICHTE 501 2015 108 du 8 août 2016</w:t>
      </w:r>
    </w:p>
    <w:p>
      <w:r>
        <w:t>IT: FR_GERICHTE 501 2015 108 del 8 agosto 2016</w:t>
      </w:r>
    </w:p>
    <w:p>
      <w:pPr>
        <w:pStyle w:val="Heading2"/>
      </w:pPr>
      <w:r>
        <w:t>Regeste</w:t>
      </w:r>
    </w:p>
    <w:p>
      <w:r>
        <w:t>Arrêt de la Cour d'appel pénal du Tribunal cantonal | Strafrecht</w:t>
      </w:r>
    </w:p>
    <w:p>
      <w:pPr>
        <w:pStyle w:val="Heading2"/>
      </w:pPr>
      <w:r>
        <w:t>Erwägungen</w:t>
      </w:r>
    </w:p>
    <w:p>
      <w:r>
        <w:rPr>
          <w:b/>
        </w:rPr>
        <w:t>E. 1</w:t>
      </w:r>
    </w:p>
    <w:p>
      <w:r>
        <w:t>A.________ est libéré du chef d’accusation d’instigation à faux dans les titres et, partant, acquitté.</w:t>
      </w:r>
    </w:p>
    <w:p>
      <w:r>
        <w:rPr>
          <w:b/>
        </w:rPr>
        <w:t>E. 2</w:t>
      </w:r>
    </w:p>
    <w:p>
      <w:r>
        <w:t>Les frais de procédure sont mis à la charge de l’Etat.</w:t>
      </w:r>
    </w:p>
    <w:p>
      <w:r>
        <w:rPr>
          <w:b/>
        </w:rPr>
        <w:t>E. 2.1</w:t>
      </w:r>
    </w:p>
    <w:p>
      <w:r>
        <w:t>Le premier juge a établi la culpabilité de l’appelant uniquement en relation avec la pièce 2007, estimant qu’il subsiste un doute quant au fait que les fausses signatures sur les documents datés du 22 mai 2013 (DO 2008 à 2015) auraient été apposées en sa présence, respectivement sur son instigation (cf. jugement p. 6 al. 6). Il s’est déclaré convaincu par la version soutenue par les témoins. L’appelant soutient que, contrairement à ce que retient le premier juge, il n’a jamais certifié avoir été présent au moment des signatures de la pièce 2007 (cf. DO 2053 l. 55-58) : sa présence a été confirmée uniquement en relation avec les documents portant la date du 22 mai 2013 (cf. appel p. 3). Selon lui, le fait qu’il ne soit pas reparti avec le document mais qu’il lui a été adressé par courrier constitue la preuve qu’il n’était pas présent lors de la signature. Il relève qu’il n’a pas subi de pression de la part de son employeur, le mémo l’invitant à récolter « dans les meilleurs délais les éléments manquants » constituant simplement une indication administrative usuelle. A cet égard, il indique que, contrairement aux déclarations de H.________ selon lesquelles il lui aurait adressé à plusieurs reprises des documents ou des requêtes par mail, ce dernier ne lui a envoyé aucun courriel à son adresse professionnelle ; le seul document qu’il lui a envoyé à son adresse privée est le certificat d’héritiers, le 7 mars 2013.</w:t>
      </w:r>
    </w:p>
    <w:p>
      <w:r>
        <w:rPr>
          <w:b/>
        </w:rPr>
        <w:t>E. 2.2</w:t>
      </w:r>
    </w:p>
    <w:p>
      <w:r>
        <w:t>Il ressort des déclarations de I.________, entendue en qualité de prévenue à la police, le 11 février 2014, que c’est bien elle qui a signé le document figurant au dossier sous pièce 2007 en relation avec le contrat d’assurance-vie J.________ en regard de son nom et que personne n’a falsifié sa signature (DO 2035 l. 45-46). Elle a également ajouté que A.________ était plutôt pressé de traiter ce dossier et qu’il a fallu signer le document dans les plus brefs délais. C’est ainsi que l’appelant a conseillé à sa maman et son frère de se débrouiller pour faire signer le document et de signer à la place de B.________ étant donné qu’ils n’avaient plus de contact avec ce dernier (DO 2036 l. 90 ss). Elle a confirmé ses déclarations devant le Ministère public en sa qualité de témoin, notamment au sujet du fait que sa mère et son frère lui ont expliqué que l’appelant leur avait dit qu’ils pouvaient signer à la place de son grand frère et qu’il n’y aurait pas de problème (DO 3009 l. 278-279).</w:t>
      </w:r>
    </w:p>
    <w:p>
      <w:r>
        <w:t>Tribunal cantonal TC Page 5 de 7 Tant H.________ que G.________ ont déclaré à la police, les 12 et 13 février 2014, alors qu’ils étaient prévenus, que tous deux se trouvaient au domicile de cette dernière avec l’appelant lorsque le document référencé sous pièce 2007 a été signé (DO 2040 l. 54, DO 2047 l. 113 et 114). Tous deux ont également déclaré que l’appelant leur a dit qu’ils pouvaient signer à la place de B.________ et que cela ne porterait pas à conséquence car il n’y aurait pas de contrôle (DO 2040 l. 64-65, DO 2046 l. 122-124). Ces déclarations ont été confirmées devant le Ministère public (DO 3006 l. 196 à 200) et devant le Juge de police (PV du 18 juin 2015 p. 6 l. 243 à 246) alors qu’ils étaient entendus en qualité de personnes appelées à donner des renseignements, respectivement en qualité de témoins. Quant à l’appelant, il a admis devant le Juge de police qu’il était présent lors de la signature de la pièce 2007, en principe (PV p. 3 l. 133-134). Il a précisé que G.________ lui avait demandé si elle pouvait signer à la place de son fils D.________ et il lui a répondu qu’il ne voulait pas le savoir et que cela ne le regardait pas, confirmant ainsi ses déclarations à la police, le 25 février 2013 (DO 2055 l. 113-114). Selon ses propres déclarations, il n’a rien fait pour l’en dissuader et il a même reconnu avoir parlé de « faux dans les titres » avec G.________(DO 3011 l. 345). Même si la Cour ne devait retenir que cette déclaration, elle constate que cette réponse à une question précise n’est pas digne d’un agent d’assurances censé conseiller ses clients. Elle représente même un blanc-seing donné à une pratique illégale dans la mesure où c’est l’appelant lui-même qui était en charge de récolter les signatures, comme il l’a admis lui-même devant le Ministère public (DO 3011 l. 356-357). Ainsi que l’a justement relevé le premier juge, l’appelant a choisi de reporter la pression et la responsabilité sur ses clients en les incitant à enfreindre la loi plutôt que de faire son travail et de contacter le plaignant (cf. jugement p. 8 al. 1). Contrairement à ce qu’il affirme dans son appel, le prévenu a lui-même confirmé sa présence lors de la signature du décompte d’échéance du contrat d’assurance-vie J.________ (DO 2007) devant le Juge de police, corroborant ainsi les déclarations de G.________, H.________ et I.________. Le fait qu’il a réceptionné ce document par courrier ne prouve pas qu’il n’était pas présent lorsque G.________ et H.________ l’ont signé puisque I.________, qui, elle, n’était pas présente avec le prévenu, sa mère et son frère, devait encore apposer sa signature. En outre, le courriel du 14 juin 2013 de son employeur lui demandant de récolter dans les meilleurs délais certains documents manquants (DO 9006), dont le décompte d’échéance du contrat d’assurance-vie J.________ signé par tous les héritiers (DO 2007, PV p. 3 l. 132 s.) constitue bel et bien une invitation à agir vite. En l’occurrence, le premier juge a exposé, de manière circonstanciée et convaincante (cf. jugement attaqué, p. 6 et 7), pourquoi il a privilégié les déclarations des témoins. La Cour fait sienne cette motivation et y renvoie (art. 82 al. 4 CPP), tout en soulignant que G.________ et H.________ n’avaient aucun intérêt à accuser faussement le prévenu, puisqu'eux-mêmes ont été condamnés pour faux dans les titres et que les ordonnances pénales sont entrées en force.</w:t>
      </w:r>
    </w:p>
    <w:p>
      <w:r>
        <w:rPr>
          <w:b/>
        </w:rPr>
        <w:t>E. 3</w:t>
      </w:r>
    </w:p>
    <w:p>
      <w:r>
        <w:t>L’appelant soutient que la condition de l’intention prévue pour l’instigation (art. 24 al. 1 CP) fait défaut. Il rappelle que celui qui se borne à créer une situation dans laquelle une autre personne pourrait éventuellement se décider à commettre une infraction n’est pas un instigateur (ATF 128 IV 11 consid. 2a). Est un instigateur celui qui, intentionnellement, décide autrui à commettre un crime ou un délit (art. 24 al. 1 CP). L'instigation consiste à susciter chez autrui la décision de commettre un acte déterminé. La décision de l'instigué de commettre l'acte doit résulter du comportement incitatif de l'instigateur; il faut donc qu'il existe un rapport de causalité entre ces deux éléments. Il n'est pas nécessaire que l'instigateur ait dû vaincre la résistance de l'instigué; la volonté d'agir peut être déterminée même chez celui qui est disposé à agir ou chez celui qui s'offre à accomplir un acte</w:t>
      </w:r>
    </w:p>
    <w:p>
      <w:r>
        <w:t>Tribunal cantonal TC Page 6 de 7 réprimé par le droit pénal et cela aussi longtemps que l'auteur ne s'est pas encore décidé à passer à l'action concrètement. L'instigation n'entre en revanche pas en considération si l'auteur de l'acte était déjà décidé à le commettre (ATF 127 IV 122 consid. 2b/aa p. 127/128; cf. également ATF 124 IV 34 consid. 2c). Par ailleurs, celui qui se borne à créer une situation dans laquelle une autre personne pourrait éventuellement se décider à commettre une infraction n'est pas un instigateur. L'instigation implique bien plutôt une influence psychique ou intellectuelle directe sur la formation de la volonté d'autrui. Peut être un moyen d'instigation tout comportement propre à susciter chez autrui la décision d'agir, même une simple demande, une suggestion ou une invitation concluante (ATF 127 IV 122 consid. 2b/aa). Sur le plan subjectif, l'instigation doit être intentionnelle; le dol éventuel suffit (ATF 116 IV 1 consid. 3d p. 3). Il faut donc que l'instigateur ait su et voulu ou, à tout le moins, envisagé et accepté que son intervention était de nature à décider l'instigué à commettre l'infraction (ATF 128 IV 11 consid. 2a). Selon les faits établis ci-dessus, le prévenu était présent lors de la signature de la pièce 2007. Il a admis que, lorsque G.________ lui avait demandé si elle pouvait signer à la place de son fils D.________, il lui a répondu qu’il ne voulait pas le savoir et que cela ne le regardait pas. Il a admis qu’il n’avait rien fait pour l’en dissuader et il a même reconnu avoir parlé de « faux dans les titres » avec G.________. Le prévenu a garanti à G.________ et à H.________ qu’il n’y aurait aucun contrôle de la part de l’assurance (cf. PV du 18.06.2015 p. 6 l. 245 s. ; DO 3002 l. 57 s. ; DO 3009 l. 279). Ses propos ont été de nature à décider G.________ à commettre l’infraction et le prévenu a agi de manière intentionnelle, à tout le moins par dol éventuel. La Cour retient ainsi que l’appelant a eu une influence primordiale sur la falsification de la signature de B.________ qu’il n’a pas pu ou voulu obtenir lui-même alors qu’il était en charge de la récolter dans les meilleurs délais. C’est sans conteste son comportement qui a amené G.________ - convaincue par lui qu’elle ne risquait rien - à falsifier la signature de B.________ sur le décompte d’échéance du contrat d’assurance vie (DO 2007). Les conditions d’application de l’art. 24 al. 1 CP sont ainsi réalisées. Par conséquent, c’est à juste titre que le premier juge a retenu la culpabilité de l’appelant en se basant sur ses propres déclarations et sur celles de G.________, H.________ et I.________ qui sont concordantes sur la présence de l’appelant lors de la signature du document figurant en pièce 2007 et sur la pression exercée sur G.________ et H.________ en les incitant à apposer une fausse signature à la place de celle de B.________. Il s’ensuit le rejet de l’appel.</w:t>
      </w:r>
    </w:p>
    <w:p>
      <w:r>
        <w:rPr>
          <w:b/>
        </w:rPr>
        <w:t>E. 4</w:t>
      </w:r>
    </w:p>
    <w:p>
      <w:r>
        <w:t>Compte tenu de la confirmation du verdict de culpabilité et du fait que l'appelant ne prend pas de conclusions subsidiaires en rapport avec la quotité de la peine, ni ne développe un éventuel grief à ce sujet dans son appel motivé, il faut constater que le jugement n'est pas contesté sur ce point et la Cour n'a pas à revoir à titre indépendant la question de la peine prononcée (Arrêt TF 6B_419/2014 du 9 janvier 2015 consid. 2.3). Au demeurant, il ne ressort pas du dossier que la fixation de la peine, telle qu'opérée par le premier juge, apparaîtrait comme illégale ou inéquitable (art. 404 al. 2 CPP).</w:t>
      </w:r>
    </w:p>
    <w:p>
      <w:r>
        <w:rPr>
          <w:b/>
        </w:rPr>
        <w:t>E. 5</w:t>
      </w:r>
    </w:p>
    <w:p>
      <w:r>
        <w:t>a) Selon l'art. 426 al. 1 CPP, le prévenu supporte les frais de procédure s'il est condamné. Quant aux frais d'appel, ils sont à la charge des parties dans la mesure où elles ont obtenu gain de cause ou succombé (art. 428 al. 1 CPP). Si elle rend une nouvelle décision, l'autorité d'appel se prononce également sur les frais fixés par l'autorité inférieure (art. 428 al. 3 CPP) En l'espèce, l'appel est rejeté. Dans ces conditions, il se justifie de mettre l’entier des frais de la procédure d’appel à charge de l'appelant et il n’y a pas lieu de modifier la mise à sa charge des frais de première instance.</w:t>
      </w:r>
    </w:p>
    <w:p>
      <w:r>
        <w:t>Tribunal cantonal TC Page 7 de 7 Les frais judiciaires d'appel comprennent un émolument de CHF 1'000.- et les débours forfaitaires par CHF 150.-. b) Le rejet de l’appel scelle également le sort de la requête d’indemnité fondée sur l’art. 429 al. 1 CPP, laquelle doit être rejetée. la Cour arrête: I. L’appel est rejeté. Partant, le jugement de la Juge de police de l’arrondissement de la Veveyse du 18 juin 2015 est confirmé dans la teneur suivante: 1. A.________ est reconnu coupable d'instigation à faux dans les titres. 2. En application des articles 34, 42, 44, 47, 105 al. 1, 106, 24 al. 1 et 251 ch. 1 CP, A.________ est condamné: - à une peine pécuniaire de 30 jours-amende, avec sursis pendant 2 ans; le montant du jour-amende est fixé à CHF 100.- ; - au paiement d'une amende de CHF 1'000.-. 3. En application de l'article 426 CPP, les frais de procédure sont mis à la charge de A.________. Les frais judiciaires sont fixés à CHF 750.- (dont CHF 500.- pour l'émolument). 4. En cas de non-paiement de l'amende dans le délai qui sera fixé dans la liste de frais et si celle-ci est inexécutable par la voie de la poursuite pour dettes, elle fera place à 10 jours de peine privative de liberté (art. 105 al. 1, 106 al. 2 CP). II. En application de l’art. 428 al. 1 CPP, les frais de procédure d’appel dus à l’Etat sont mis à la charge de A.________. Ils sont fixés à CHF 1’150.- (émolument: CHF 1’000.-; débours: CHF 150.-). III. La requête d'indemnité demandée par A.________ est rejetée. IV.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8 août 2016 /cov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