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101 vom 27. April 2016</w:t>
      </w:r>
    </w:p>
    <w:p>
      <w:r>
        <w:t>FR Kantonsgericht, 2016-04-27, FR</w:t>
      </w:r>
    </w:p>
    <w:p>
      <w:r>
        <w:rPr>
          <w:b/>
        </w:rPr>
        <w:t xml:space="preserve">Quelle: </w:t>
      </w:r>
      <w:r>
        <w:t>https://mcp.opencaselaw.ch/entscheid/fr_gerichte_501_2015_101</w:t>
      </w:r>
    </w:p>
    <w:p>
      <w:r>
        <w:t>FR: FR_GERICHTE 501 2015 101 du 27 avril 2016</w:t>
      </w:r>
    </w:p>
    <w:p>
      <w:r>
        <w:t>IT: FR_GERICHTE 501 2015 101 del 27 aprile 2016</w:t>
      </w:r>
    </w:p>
    <w:p>
      <w:pPr>
        <w:pStyle w:val="Heading2"/>
      </w:pPr>
      <w:r>
        <w:t>Regeste</w:t>
      </w:r>
    </w:p>
    <w:p>
      <w:r>
        <w:t>Arrêt de la Cour d'appel pénal du Tribunal cantonal | Strafrecht</w:t>
      </w:r>
    </w:p>
    <w:p>
      <w:pPr>
        <w:pStyle w:val="Heading2"/>
      </w:pPr>
      <w:r>
        <w:t>Erwägungen</w:t>
      </w:r>
    </w:p>
    <w:p>
      <w:r>
        <w:rPr>
          <w:b/>
        </w:rPr>
        <w:t>E. 4</w:t>
      </w:r>
    </w:p>
    <w:p>
      <w:r>
        <w:t>Il convient maintenant d'examiner la question de la quotité de la peine.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w:t>
      </w:r>
    </w:p>
    <w:p>
      <w:r>
        <w:t>Tribunal cantonal TC Page 8 de 10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 ATF 141 IV 61 consid. 6.1.1).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savoir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(cf. arrêt TF 6B_823/2007 du 4 mars 2008 consid. 2.1). L'art. 47 CP est violé si le juge ne considère pas les critères susmentionnés ou si la peine est dictée par des considérations étrangères à cette norme (cf. ATF 134 IV 17 consid. 2.1). Enfin,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b) Le Ministère public requiert que A.________ soit condamné à un travail d'intérêt général de 80 heures, avec sursis pendant 2 ans, et au paiement d'une amende de CHF 500.-. Le prévenu a d’abord été reconnu coupable de violation des devoirs en cas d’accident (art. 51 al. 1 et 3 et 92 al. 1 LCR). Il s’agit là d’une infraction qui est une contravention, et qui est punie de l'amende. Il est également condamné pour entrave aux mesures de constatation de l’incapacité de conduire (art. 91a al. 1 LCR); il s’agit là d’une infraction qui est un délit et à ce titre sanctionnée par une peine privative de liberté de 3 ans au maximum ou une peine pécuniaire. Dès lors que les deux infractions ne sont pas du même genre, le concours est exclu. En ne demeurant pas sur les lieux de l’accident malgré l’annonce de la victime selon laquelle elle allait appeler la police, le prévenu s’est intentionnellement dérobé aux mesures servant à déterminer son taux d’alcoolémie. Il a expliqué qu’il avait agi ainsi non pas pour se dérober, mais plutôt parce qu’il souhaitait éviter une échauffourée avec C.________. Il n’en reste pas moins qu’après avoir quitté les lieux de l’accident, au plus tard à 19h51, il a immédiatement bu trois autres bières à son arrivée à son domicile, et ce jusqu’à 20h25, heure de l’arrivée de la police. Une telle soif, dans de telles circonstances, ne peut s’avérer que troublante, ce d’autant plus lorsque l’on se rappelle que le prévenu avait bu une dernière bière avant l’accident à 19h30. On peut présumer que le rythme auquel le prévenu a ingurgité ces trois autres bières après l’accident était avant tout dicté par le souci de contrecarrer autant que possible le contrôle d’alcoolémie auquel il s’attendait.</w:t>
      </w:r>
    </w:p>
    <w:p>
      <w:r>
        <w:t>Tribunal cantonal TC Page 9 de 10 A sa décharge, il y a lieu de relever qu’il n’a dans son dossier aucun antécédent en matière de circulation routière et qu’il n’a commis aucune autre infraction depuis les faits pour lesquels il est condamné ce jour. Par ailleurs, sa collaboration au cours de la présente procédure a été bonne. Pour ces raisons, la condamnation à un travail d'intérêt général de 80 heures, avec sursis pendant 2 ans, et à une amende de CHF 500.-, telle que requise par le Ministère public, est adéquate.</w:t>
      </w:r>
    </w:p>
    <w:p>
      <w:r>
        <w:rPr>
          <w:b/>
        </w:rPr>
        <w:t>E. 5</w:t>
      </w:r>
    </w:p>
    <w:p>
      <w:r>
        <w:t>En application des art. 421 et 426 CPP, les frais de procédure sont mis pour 2/3 à la charge de ’A.________. Le solde est mis à la charge de l’Etat.</w:t>
      </w:r>
    </w:p>
    <w:p>
      <w:r>
        <w:rPr>
          <w:b/>
        </w:rPr>
        <w:t>E. 6</w:t>
      </w:r>
    </w:p>
    <w:p>
      <w:r>
        <w:t>En application de l’art. 429 al. 1 let. a CPP, une indemnité de CHF 1'734.40 est allouée à A.________. II. Les frais de procédure d'appel, fixés à CHF 1'100.- (émolument: CHF 1'000.-; débours: CHF 100.-) sont mis à la charge de A.________. III. Aucune indemnité n’est accordée à A.________ pour la procédure d’appel.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avril 2016/cma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