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73 vom 3. Februar 2015</w:t>
      </w:r>
    </w:p>
    <w:p>
      <w:r>
        <w:t>FR Kantonsgericht, 2015-02-03, FR</w:t>
      </w:r>
    </w:p>
    <w:p>
      <w:r>
        <w:rPr>
          <w:b/>
        </w:rPr>
        <w:t xml:space="preserve">Quelle: </w:t>
      </w:r>
      <w:r>
        <w:t>https://mcp.opencaselaw.ch/entscheid/fr_gerichte_501_2014_73</w:t>
      </w:r>
    </w:p>
    <w:p>
      <w:r>
        <w:t>FR: FR_GERICHTE 501 2014 73 du 3 février 2015</w:t>
      </w:r>
    </w:p>
    <w:p>
      <w:r>
        <w:t>IT: FR_GERICHTE 501 2014 73 del 3 febbraio 2015</w:t>
      </w:r>
    </w:p>
    <w:p>
      <w:pPr>
        <w:pStyle w:val="Heading2"/>
      </w:pPr>
      <w:r>
        <w:t>Regeste</w:t>
      </w:r>
    </w:p>
    <w:p>
      <w:r>
        <w:t>Arrêt de la Cour d'appel pénal du Tribunal cantonal | Revision (Art. 410 à 415 StPO)</w:t>
      </w:r>
    </w:p>
    <w:p>
      <w:pPr>
        <w:pStyle w:val="Heading2"/>
      </w:pPr>
      <w:r>
        <w:t>Erwägungen</w:t>
      </w:r>
    </w:p>
    <w:p>
      <w:r>
        <w:rPr>
          <w:b/>
        </w:rPr>
        <w:t>E. 1</w:t>
      </w:r>
    </w:p>
    <w:p>
      <w:r>
        <w:t>let. b CPP et 21 al. 3 CPP). Les règles de procédures seront celles prévues aux art. 411 ss CPP, mais les motifs de révision ceux prévalant sous l’empire de l’ancien code de procédure pénale fribourgeois (art. 223 aCPP/FR).</w:t>
      </w:r>
    </w:p>
    <w:p>
      <w:r>
        <w:t>Tribunal cantonal TC Page 4 de 6 b) aa)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Si la juridiction d’appel entre en matière sur la demande de révision, elle invite les autres parties et l’autorité inférieure à se prononcer par écrit (art. 412 al.</w:t>
      </w:r>
    </w:p>
    <w:p>
      <w:r>
        <w:rPr>
          <w:b/>
        </w:rPr>
        <w:t>E. 3</w:t>
      </w:r>
    </w:p>
    <w:p>
      <w:r>
        <w:t>CPP). Aussi c’est bien sous l’angle de la vraisemblance que la juridiction d’appel examine la recevabilité formelle de la demande de révision, à savoir les conditions de forme et de délai prévues à l’art. 411 CPP, la qualité pour recourir, le caractère définitif du jugement entrepris, les exigences formelles relatives à la preuve des faits invoqués, l’interdiction de renouveler une demande de révision pour les mêmes motifs et l’examen in abstracto de l’existence d’une cause de révision (M. RÉMY, Commentaire romand CPP, Bâle 2011, n. 1-3 ad art. 412 CPP; G. PIQUEREZ, Traité de procédure pénale suisse, Genève Zurich Bâle 2006, n. 1285). Il ressort de l’art. 411 al. 2 CPP que la demande peut être déposée en tout temps, sous réserve de l’abus de droit et de la limite temporelle découlant de l’interprétation littérale a contrario de l’art. 410 al. 3 CPP qui révèle qu’une révision en défaveur du prévenu acquitté ou condamné ne peut plus être demandée après l’acquisition de la prescription. Selon la jurisprudence (ATF 130 IV 72), compte tenu des particularités procédurales de l'ordonnance de condamnation,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De manière générale,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arrêt 6B_942/2010 du 03.3.2011 consid. 2.2.1). Cette jurisprudence, rendue sous l’ancien droit, s’applique au demeurant aussi aux procédures de révision régies par l’actuel CPP (TF, arrêt 6B_310/2011 du 20.6.2011, consid. 1.3 in fine et réf.). bb) A.________ invoque l’existence de faits nouveaux et sérieux dont les Juges d’instruction n’avaient pas connaissance au moment de rendre les ordonnances attaquées ; selon lui, il est prouvé qu’il verse chaque mois depuis janvier 2006 une pension alimentaire de 1’300 francs en faveur de ses enfants (1’400 francs depuis janvier 2010), ce que les premiers juges ignoraient puisqu’ils ont retenu une saisie de 3’100 francs. De même, il soutient que les juges ignoraient que la société B.________ Sàrl avait fait faillite et qu’il s’était retrouvé sans emploi pendant plusieurs mois entre 2008 et 2009, de sorte qu’à l’évidence il ne pouvait pas réaliser un revenu de 4'500 francs comme retenu pour l’ensemble de la période pour laquelle il a été reconnu coupable de distraction de biens saisis et de détournement de valeur mises sous main de justice. Tout en admettant une certaine négligence dans la gestion de ses affaires excusable en raison de sa maladie, il soutient que sa demande de révision n’est pas abusive dans la mesure où les ordonnances pénales ne lui ont pas été notifiées, alors qu’elles constituaient l’acte introductif d’instance. cc) En l’espèce, force est de constater que A.________ connaissait initialement les faits évoqués à l’appui de sa demande de révision. Il les avait en outre soulevés dans le cadre de son</w:t>
      </w:r>
    </w:p>
    <w:p>
      <w:r>
        <w:t>Tribunal cantonal TC Page 5 de 6 opposition aux ordonnances pénales déposée le 30 juillet 2010, soit dans l’écriture même qui contenait la demande de révision. Cette opposition motivée a été jugée recevable dans un premier temps, par restitution du délai, la cause renvoyée au Ministère public pour qu’il procède à un complément d’enquête. Dans ce cadre-là, tous les faits précités ont été examinés ; A.________ a pu s’exprimer sur sa situation financière, notamment l’état de ses charges, en particulier le paiement de la pension alimentaire, ainsi que sur ses revenus effectivement perçus (DO 20122/20155). Le Juge de police l’a tout de même reconnu coupable de détournement de valeurs patrimoniales mises sous main de justice, retenant que certes la saisie de 3'100 francs était trop élevée, mais qu’au vu de la situation financière établie sur les déclarations du prévenu et pièces produites par celui-ci, il aurait tout de même pu payer une partie de cette saisie, ce qu’il n’a pas fait, détournant ainsi plus de 10'000 francs (DO 20195). Le Juge de police l’a condamné à une peine pécuniaire de 30 jours-amende d’un montant de dix francs, avec sursis pendant deux ans. Au stade de la procédure d’appel, seule la question de la recevabilité de l’opposition a été examinée ; celle-ci a été jugée tardive et le délai n’a pas été restitué au vu du comportement fautif qu’on pouvait imputer à A.________ (pour la motivation détaillée cf. TC, arrêt 501 2012 153 du 11 avril 2014). Cet arrêt cantonal est aujourd’hui entré en force. Au vu de l’ensemble de la procédure décrite ci-dessus, utiliser le moyen de droit extraordinaire qu’est la révision pour tenter de faire réexaminer les mêmes faits déjà soulevés dans son opposition, laquelle a finalement été jugée tardive, reviendrait à détourner les dispositions légales sur le délai pour former opposition et celles sur son éventuelle restitution, ainsi que la jurisprudence y relative. Lors de la procédure d’appel, les motifs fournis par le condamné pour expliquer son empêchement de former opposition en temps utile n’ont pas conduit à la restitution dudit délai. Sa négligence procédurale lui est également opposable dans le cadre de sa demande de révision. Dans ces conditions, celle-ci doit manifestement être qualifiée d’abusive et il n’y a pas lieu d’y donner suite. 2. a) Au vu du sort de la demande de révision, les frais de procédure, fixés à 347 francs (émolument : 300 francs ; débours : 47 francs), doivent être mis à la charge de A.________ qui succombe (art. 428 al. 1 CPP ; art. 422 CPP, 124 LJ et 33 à 44 RJ). b) L’indemnité du défenseur d’office de A.________ pour la procédure de révision est arrêtée équitablement à 360 francs, débours compris mais TVA par 28 fr. 80 en sus (art. 135 CPP ; 57 RJ). A.________ est tenu de rembourser ce montant à l’Etat dès que sa situation financière le permettra (art. 135 al. 4 CPP). (dispositif : page suivante)</w:t>
      </w:r>
    </w:p>
    <w:p>
      <w:r>
        <w:t>Tribunal cantonal TC Page 6 de 6 la Cour arrête: I. Il n’est pas entré en matière sur la demande du 30 juillet 2010 tendant à la révision des ordonnances pénales du 17 octobre 2008, 22 janvier 2009 et 3 juin 2009. II. Les frais de procédure fixés à 347 francs (émolument : 300 francs ; débours : 47 francs) sont mis à la charge de A.________. III. L’indemnité du défenseur d’office de A.________ pour la procédure de révision est arrêtée à 388 fr. 80, TVA par 28 fr. 80 comprise. A.________ est tenu de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février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