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148 vom 18. Mai 2015</w:t>
      </w:r>
    </w:p>
    <w:p>
      <w:r>
        <w:t>FR Kantonsgericht, 2015-05-18, FR</w:t>
      </w:r>
    </w:p>
    <w:p>
      <w:r>
        <w:rPr>
          <w:b/>
        </w:rPr>
        <w:t xml:space="preserve">Quelle: </w:t>
      </w:r>
      <w:r>
        <w:t>https://mcp.opencaselaw.ch/entscheid/fr_gerichte_501_2014_148</w:t>
      </w:r>
    </w:p>
    <w:p>
      <w:r>
        <w:t>FR: FR_GERICHTE 501 2014 148 du 18 mai 2015</w:t>
      </w:r>
    </w:p>
    <w:p>
      <w:r>
        <w:t>IT: FR_GERICHTE 501 2014 148 del 18 maggio 2015</w:t>
      </w:r>
    </w:p>
    <w:p>
      <w:pPr>
        <w:pStyle w:val="Heading2"/>
      </w:pPr>
      <w:r>
        <w:t>Regeste</w:t>
      </w:r>
    </w:p>
    <w:p>
      <w:r>
        <w:t>Arrêt de la Cour d'appel pénal du Tribunal cantonal | Strafrecht</w:t>
      </w:r>
    </w:p>
    <w:p>
      <w:pPr>
        <w:pStyle w:val="Heading2"/>
      </w:pPr>
      <w:r>
        <w:t>Erwägungen</w:t>
      </w:r>
    </w:p>
    <w:p>
      <w:r>
        <w:rPr>
          <w:b/>
        </w:rPr>
        <w:t>E. 10</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(al. 2). Selon l’art. 239 al. 1 let. c CPP, les sûretés sont libérées dès que le prévenu a commencé l’exécution de la sanction privative de liberté. Les sûretés fournies par le prévenu qui ont été libérées peuvent être utilisées pour payer les peines pécuniaires, les amendes, les frais et les indemnités mis à sa charge (al. 2), pour autant qu’elles aient été fournies par les prévenus (cf. CR CPP-SCHMOCKER Art. 239 N 7). En l’espèce, tant pour la confiscation qu’en ce qui concerne le sort des sûretés versées, la Cour fait entièrement sienne la motivation des premiers juges qui ne prête pas le flanc à la critique (cf. jugement attaqué p. 34 et 37) et à laquelle elle renvoie (art. 82 al. 4 CPP), d’autant plus que l’appelant n’apporte aucune argumentation qui pourrait amener la Cour à en décider autrement.</w:t>
      </w:r>
    </w:p>
    <w:p>
      <w:r>
        <w:rPr>
          <w:b/>
        </w:rPr>
        <w:t>E. 11</w:t>
      </w:r>
    </w:p>
    <w:p>
      <w:r>
        <w:t>En application de l’art. 239 CPP, les sûretés versées par A.________, d’un montant de CHF 10'000.--, sont dévolues à l’Etat pour payer les frais judiciaires, le solde éventuel étant versé au Service de la Justice en vue du remboursement des indemnités de défenseur d’office.</w:t>
      </w:r>
    </w:p>
    <w:p>
      <w:r>
        <w:t>Tribunal cantonal TC Page 20 de 21</w:t>
      </w:r>
    </w:p>
    <w:p>
      <w:r>
        <w:rPr>
          <w:b/>
        </w:rPr>
        <w:t>E. 12</w:t>
      </w:r>
    </w:p>
    <w:p>
      <w:r>
        <w:t>En application des art. 421 et 426 CPP, les frais de procédure, par CHF 11'105.85 (émoluments à hauteur de CHF 2'000.-- + émoluments de CHF 500.-- pour l’ordonnance de mise en détention; débours arrêtés le 14 janvier 2013 par CHF 8'055.85 et débours en lien avec la procédure de relief par CHF 550.--) sont mis à la charge de A.________.</w:t>
      </w:r>
    </w:p>
    <w:p>
      <w:r>
        <w:rPr>
          <w:b/>
        </w:rPr>
        <w:t>E. 13</w:t>
      </w:r>
    </w:p>
    <w:p>
      <w:r>
        <w:t>L’indemnité de défenseur d’office due à Me Telmo Vicente est arrêtée à CHF 1'438.90, TVA comprise (honoraires et débours : CHF 1'332.30; TVA: CHF 106.60). En application de l’art. 135 al. 4 CPP, A.________ sera tenu de rembourser ce montant à l’Etat dès que sa situation financière le permettra.</w:t>
      </w:r>
    </w:p>
    <w:p>
      <w:r>
        <w:rPr>
          <w:b/>
        </w:rPr>
        <w:t>E. 14</w:t>
      </w:r>
    </w:p>
    <w:p>
      <w:r>
        <w:t>L’indemnité de défenseur d’office due à Me Roberto Izzo est arrêtée à CHF 5'246.30, TVA comprise (honoraires et débours : CHF 4'857.70; TVA: CHF 388.60). En application de l’art. 135 al. 4 CPP, A.________ sera tenu de rembourser ce montant à l’Etat dès que sa situation financière le permettra.‟ Pour le surplus, il est pris acte de l’entrée en force des chiffres 1 et 6 du dispositif du jugement du 12 septembre 2014, dans la teneur suivante: ”1. A.________ est acquitté des chefs de prévention de vol, dommages à la propriété et violation de domicile en lien avec le cas 1.14 de l’acte d’accusation du 17 juillet 2012. (…) 6. Les conclusions civiles formées par la compagnie S.________, Division prestations, subrogée dans les droits de L.________, sont renvoyées à la connaissance du Juge civil (126 al. 2 let. d CPP).‟ II. Les frais de la procédure d’appel, hors indemnité du défenseur d’office, sont fixés à CHF 2'440.-- (émolument: CHF 2'000.-- francs; débours: CHF 440.--). Ils seront assumés par A.________. III. L’indemnité du défenseur d’office de A.________ due à Me Roberto Izzo pour l’appel est fixée à CHF 4'151.10, TVA par CHF 307.50 comprise. En application de l’art. 135 al. 4 CPP, A.________ sera tenu de rembourser ce montant à l’Etat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d'une indemnité de défenseur d'office, cet arrêt peut faire l'objet d'un recours, de la part du défenseur d'office,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Bellinzona.</w:t>
      </w:r>
    </w:p>
    <w:p>
      <w:r>
        <w:t>Tribunal cantonal TC Page 21 de 21 Fribourg, le 18 mai 2015/jlo/fri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