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101 vom 16. März 2015</w:t>
      </w:r>
    </w:p>
    <w:p>
      <w:r>
        <w:t>FR Kantonsgericht, 2015-03-16, FR</w:t>
      </w:r>
    </w:p>
    <w:p>
      <w:r>
        <w:rPr>
          <w:b/>
        </w:rPr>
        <w:t xml:space="preserve">Quelle: </w:t>
      </w:r>
      <w:r>
        <w:t>https://mcp.opencaselaw.ch/entscheid/fr_gerichte_501_2014_101</w:t>
      </w:r>
    </w:p>
    <w:p>
      <w:r>
        <w:t>FR: FR_GERICHTE 501 2014 101 du 16 mars 2015</w:t>
      </w:r>
    </w:p>
    <w:p>
      <w:r>
        <w:t>IT: FR_GERICHTE 501 2014 101 del 16 marzo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CPC), puis adresse une déclaration d'appel écrite à la juridiction d'appel dans les 20 jours dès la notification du jugement motivé (art. 399 al. 1 et 3 CPP). En l'espèce, A.________ a annoncé son appel contre le jugement du 31 janvier 2014 le</w:t>
      </w:r>
    </w:p>
    <w:p>
      <w:r>
        <w:rPr>
          <w:b/>
        </w:rPr>
        <w:t>E. 4</w:t>
      </w:r>
    </w:p>
    <w:p>
      <w:r>
        <w:t>L'appelant critique enfin l'admission partielle des conclusions civiles de la plaignante, soit le montant de 7'000 francs alloué à titre de réparation du tort moral. a)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L'ampleur de la réparation morale dépend avant tout de la gravité des souffrances physiques ou psychiques consécutives à l'atteinte subie par la victime et de la possibilité d'adoucir sensiblement, par le versement d'une somme d'argent, la douleur morale qui en résulte (cf. ATF 130 III 699 consid. 5.1). Statuant selon les règles du droit et de l'équité (art. 4 CC), le juge dispose d'un large pouvoir d'appréciation (cf. arrêt TF 6B_447/2014 du 30 octobre 2014 consid. 6.1).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(cf. ATF 125 III 269 consid. 2a; arrêt TF 6B_546/2011 du 12 décembre 2011 consid. 2.4). En cas de viol, les montants qui ont été alloués depuis 1990 se situent généralement entre 10'000 et 15'000 francs et s'élèvent exceptionnellement à 20'000 francs. D'une manière générale, la jurisprudence tend, depuis quelques années, à allouer des montants plus importants en matière d'atteintes graves à l'intégrité sexuelle d'une personne (cf. ATF 125 III 269 consid. 2a; arrêts TF 6B_705/2010 du 2 décembre 2010, 20'000 francs; 6B_646/2008 du 23 avril 2009, 50'000 francs; 6B_929/2008 du 5 mars 2009, 40'000 francs; 6S.12/2007 du 30 mars 2007, 15'000 francs). b) En l'espèce, les premiers juges ont estimé que, âgée de seulement 16 ans au moment des faits, la plaignante avait été traumatisée par ce qu'elle avait vécu, éprouvant un sentiment de</w:t>
      </w:r>
    </w:p>
    <w:p>
      <w:r>
        <w:t>Tribunal cantonal TC Page 9 de 11 honte et se sentant salie, et elle n'a pu affronter ce traumatisme que plusieurs années plus tard grâce à une psychothérapie. Ils ont également retenu qu'objectivement, la plaignante a subi une atteinte à son intégrité sexuelle, de sorte qu'elle avait droit à une réparation. Au vu de la jurisprudence citée, la Cour de céans ne peut que se rallier à ces considérations qui s'avèrent adéquates. En conséquence, le jugement sera confirmé sur la question du principe et du montant de l'indemnité pour tort moral allouée à la plaignante.</w:t>
      </w:r>
    </w:p>
    <w:p>
      <w:r>
        <w:rPr>
          <w:b/>
        </w:rPr>
        <w:t>E. 5</w:t>
      </w:r>
    </w:p>
    <w:p>
      <w:r>
        <w:t>fixe l'équitable indemnité due à Me Jacques BONFILS, avocat à Fribourg, défenseur d'office de A.________, prévenu indigent, au montant de 5’479 francs (TVA 8% comprise); les frais afférents à la défense d’office de A.________ sont à la charge de l’Etat jusqu’à l’éventuel retour à meilleure fortune du bénéficiaire (art. 135 al. 1 et 4 CPP);</w:t>
      </w:r>
    </w:p>
    <w:p>
      <w:r>
        <w:rPr>
          <w:b/>
        </w:rPr>
        <w:t>E. 6</w:t>
      </w:r>
    </w:p>
    <w:p>
      <w:r>
        <w:t>condamne A.________, en application des art. 421 et 426 CPP, au paiement des frais de procédure (émolument : 4’000 francs, porté à 6’000 francs en cas de demande de sa part de jugement motivé; débours : 130 francs)." II. Les frais de la procédure d'appel, hors indemnité des défenseurs d'office, sont fixés à 2'216 francs (émolument : 2'000 francs ; débours : 216 francs). Ils sont mis à la charge de A.________. III. L'indemnité de défenseur d'office de A.________ due à Me Jacques Bonfils pour l'appel est fixée à 2'461 fr. 55, TVA par 182 fr. 35 comprise. L'indemnité de défenseur d'office de B.________ due à Me Olivier Carrel pour l'appel est fixée à 2'009 fr. 10, TVA par 148 fr. 80 comprise. En application des art. 135 al. 4, 138 al. 1 et 426 al. 4 CPP, A.________ sera tenu de rembourser ces montants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11 de 11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mars 2015/dbe/cso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