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501 2012 95 vom 14. September 2012</w:t>
      </w:r>
    </w:p>
    <w:p>
      <w:r>
        <w:t>FR Kantonsgericht, 2012-09-14, FR</w:t>
      </w:r>
    </w:p>
    <w:p>
      <w:r>
        <w:rPr>
          <w:b/>
        </w:rPr>
        <w:t xml:space="preserve">Quelle: </w:t>
      </w:r>
      <w:r>
        <w:t>https://mcp.opencaselaw.ch/entscheid/fr_gerichte_501_2012_95</w:t>
      </w:r>
    </w:p>
    <w:p>
      <w:r>
        <w:t>FR: FR_GERICHTE 501 2012 95 du 14 septembre 2012</w:t>
      </w:r>
    </w:p>
    <w:p>
      <w:r>
        <w:t>IT: FR_GERICHTE 501 2012 95 del 14 settembre 2012</w:t>
      </w:r>
    </w:p>
    <w:p>
      <w:pPr>
        <w:pStyle w:val="Heading2"/>
      </w:pPr>
      <w:r>
        <w:t>Regeste</w:t>
      </w:r>
    </w:p>
    <w:p>
      <w:r>
        <w:t>Arrêt de la Cour d'appel pénal du Tribunal cantonal | Revision (Art. 410 à 415 StPO)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août 2012 à l’admission de celle-ci et à l’annulation de l’ordonnance litigieuse. A l’appui de ses conclusions, il a expliqué que les faits et moyens de preuve ressortant de la demande de révision lui étaient inconnus au moment où il avait prononcé l’ordonnance pénale.</w:t>
      </w:r>
    </w:p>
    <w:p>
      <w:r>
        <w:t>- 3 - e n d r o i t 1. a) En application de l’art. 21 al. 1 let. b CPP en relation avec l’art. 85 al. 2 de la loi du 31 mai 2010 sur la justice (ci-après: LJ), la Cour d’appel pénal est compétente pour statuer sur les demandes de révision. Celles-ci doivent être motivées et adressées par écrit à la juridiction d’appel (art. 411 al. 1 CPP) et, hormis celles fondées sur l’art. 410 al. 1 let. b et al. 2 CPP, elles ne sont soumises à aucun délai – sous réserve de l’abus de droit -, de sorte qu’en l’espèce, la demande de révision du 30 juillet 2012 fondée sur l’art. 410 al. 1 let. a CPP est recevable. b) Lésé par l’ordonnance pénale litigieuse le condamnant, A.________ est dès lors légitimé à introduire une demande de révision (art. 410 al. 1 ab initio CPP). Faute d’opposition, l’ordonnance pénale a été assimilée à un jugement entré en force dès le</w:t>
      </w:r>
    </w:p>
    <w:p>
      <w:r>
        <w:rPr>
          <w:b/>
        </w:rPr>
        <w:t>E. 17</w:t>
      </w:r>
    </w:p>
    <w:p>
      <w:r>
        <w:t>juin 2005 (LTF). L'acte de recours motivé doit être adressé au Tribunal fédéral, 1000 Lausanne 14. Fribourg, le 14 septembre 2012/cfa La Greffière: Le Président: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