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81 vom 20. Dezember 2024</w:t>
      </w:r>
    </w:p>
    <w:p>
      <w:r>
        <w:t>FR Kantonsgericht, 2024-12-20, FR</w:t>
      </w:r>
    </w:p>
    <w:p>
      <w:r>
        <w:rPr>
          <w:b/>
        </w:rPr>
        <w:t xml:space="preserve">Quelle: </w:t>
      </w:r>
      <w:r>
        <w:t>https://mcp.opencaselaw.ch/entscheid/fr_gerichte_106_2024_81</w:t>
      </w:r>
    </w:p>
    <w:p>
      <w:r>
        <w:t>FR: FR_GERICHTE 106 2024 81 du 20 décembre 2024</w:t>
      </w:r>
    </w:p>
    <w:p>
      <w:r>
        <w:t>IT: FR_GERICHTE 106 2024 81 del 20 dicembre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17</w:t>
      </w:r>
    </w:p>
    <w:p>
      <w:r>
        <w:t>octobre 2024. Le recourant relève qu'il maintient sa demande de levée de la curatelle de surveillance des relations personnelles, car cela fait 2 ans que sa fille ne lui donne plus de réponse, que la curatelle ne change rien à cela et qu'elle aura 18 ans dans un an. Il s'oppose en outre à la médiation familiale, en indiquant qu'il ne veut pas prendre du temps ni payer pour cela. Il ne veut pas non plus rétablir une communication avec son ex-femme. Il maintient que ses enfants sont libres et assez grands maintenant et qu'il y a toujours eu des tensions avec le calendrier du droit de visite et des horaires à respecter. Dans son courrier de transmission du 17 octobre 2024, la Justice de paix indique que le recours n'appelle aucune remarque particulière de sa part et qu'elle se réfère, pour le surplus, aux dossiers. Dans sa réponse du 22 novembre 2024, B.________, toujours représentée par Me Guillod, conclut au rejet du recours sous suite de frais et dépens. Elle estime que la décision querellée doit être confirmée et indique qu'elle est favorable au maintien de la curatelle de surveillance des relations personnelles et à la médiation. Elle relève que, même si les enfants sont âgés de 15 et 17 ans, les contacts avec l'autre parent sont toujours nécessaires au développement harmonieux de leur personnalité et qu'actuellement, C.________ n'a pas de contact avec son papa et D.________ ne voit pas sa maman. Compte tenu des difficultés qu'elle rencontre, la famille a besoin de l'appui de professionnels. S'agissant de la médiation, elle souligne que, depuis leur séparation, les parents n'ont jamais participé à une médiation et qu'il n'y a jamais eu non plus de médiation familiale. Une telle mesure constitue une chance de rétablir une communication, ne serait-ce que minimale, et serait aussi un signal très positif vis-à-vis des enfants. en droit 1. 1.1. Les dispositions de la procédure devant l’autorité de protection de l’adulte sont applicables par analogie aux procédures relatives aux enfants devant les autorités de protection (art. 314 du code civil suisse du 10 décembre 1907 [CC; RS 210]), de sorte que la procédure de recours est</w:t>
      </w:r>
    </w:p>
    <w:p>
      <w:r>
        <w:t>Tribunal cantonal TC Page 4 de 8 régie par les art. 450 à 450e CC. Les décisions de la Justice de paix peuvent dès lors faire l’objet d’un recours auprès de la Cour de céans (art. 450 al. 1 CC, art. 8 de la loi du 15 juin 2012 concernant la protection de l’enfant et de l’adulte [LPEA; RSF 212.5.1], art. 14 al. 1 let. c et 20 al. 1 du règlement du Tribunal cantonal du 22 novembre 2012 précisant son organisation et son fonctionnement [RTC; RSF 131.11]). 1.2. La décision attaquée a été notifiée au recourant le 3 octobre 2024. Interjeté le 14 octobre 2024, le recours l'a été dans le délai légal (art. 450b al. 1 CC). 1.3. En tant que partie à la procédure, le recourant a qualité pour recourir (art. 450 al. 2 ch. 1 CC).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ce d’autant plus lorsque le recourant n’est pas assisté d’un mandataire professionnel (cf. CR-CC I-TAPPY, 2e éd. 2024, art. 450 n. 64 et les références citées; BSK ZGB-DROESE, 7e éd. 2022, art. 450 n. 42 et les références citées). En l’espèce, motivé mais dépourvu de conclusions formelles, le recours répond néanmoins aux exigences minimales prescrites, étant précisé que le recourant a agi sans le concours d’un avocat. En effet, on comprend que le recourant conteste le refus de lever la curatelle de surveillance des relations personnelles de ses enfants, estimant que ses enfants sont suffisamment grands pour décider eux-mêmes, et qu'il s'oppose fermement à la médiation familiale, indiquant qu'il ne veut plus aucun contact avec son ex-femme et qu'il refuse de prendre en charge les frais liés à cette médiation. 1.5. Le recours peut être formé pour violation du droit, constatation fausse ou incomplète des faits pertinents, et inopportunité de la décision (art. 450a al. 1 CC). 1.6. La procédure de recours est régie par la maxime d'office et par la maxime inquisitoire. La Cour dispose d'un plein pouvoir d'examen, en fait comme en droit. 1.7. En l'absence de dispositions cantonales contraires, les dispositions de la procédure civile s'appliquent par analogie (art. 450f CC). 1.8. À défaut de disposition contraire du droit cantonal, la Cour peut statuer sans débats (art. 450f CC et 316 al. 1 CPC). 2. Le recourant conteste tout d'abord le refus de lever la curatelle de surveillance des relations personnelles. 2.1.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131 III 209 consid. 5 et les références citées).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 Dans ce contexte, l'importance et le mode d'exercice des relations</w:t>
      </w:r>
    </w:p>
    <w:p>
      <w:r>
        <w:t>Tribunal cantonal TC Page 5 de 8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On prendra également en considération l’avis de l’enfant. Celui-ci est auditionné dans la mesure où son âge ou d’autres circonstances ne s’y opposent pas (art. 298 al. 1 CPC; CR CC I-LEUBA, 2010, art. 273 n. 14 et les références citées; MEIER/STETTLER, Droit de la filiation, 6e éd. 2019, n. 970 p. 621 ss).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du cas d'espèce, conforme à l'intérêt de l'enfant (CR CC I-LEUBA, art. 273 n. 15-17 et les références citées). 2.2. Selon l'art. 307 al. 1 CC, l'autorité de protection de l'enfant prend les mesures nécessaires pour protéger l'enfant si son développement est menacé et que les père et mère n'y remédient pas d'eux-mêmes ou sont hors d'état de le faire. La mesure ordonnée doit en outre respecter les principes de proportionnalité, de subsidiarité et de complémentarité. D'une part, elle doit être apte à atteindre le but de protection visé et nécessaire à cette fin; elle doit d'autre part être la plus légère possible pour atteindre ce but et n'intervenir que quand il ne peut pas l'être par un autre biais (CR CC I – MEIER, 2e éd. 2024, art. 307-315b n. 33 ss).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 et éducatifs de la situation et de la constellation familiale (arrêt TF 5A_887/2017 du 16 février 2018 consid. 5.1 et les références citées). Conformément à l'art. 308 al. 1 et 2 CC,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2.3. En l'espèce, la mesure de curatelle de surveillance des relations personnelles existe depuis plus de 10 ans. Selon les divers rapports d'activité du SEJ, la communication a toujours été problématique entre les parents (cf. Dossier de la Justice de paix [ci-après: DO] p. 370, 582, 590). Dans le dernier rapport d'activité pour les années 2021-2022, il est même constaté qu'il n'y a eu aucune amélioration depuis le début du mandat (cf. DO p. 857). Il ressort également du dossier que, depuis leur séparation, les ex-époux se sont opposés lors de nombreuses procédures civiles, qu'ils ne se font pas confiance et qu'ils nourrissent encore beaucoup de reproches l'un envers l'autre.</w:t>
      </w:r>
    </w:p>
    <w:p>
      <w:r>
        <w:t>Tribunal cantonal TC Page 6 de 8 Si, dans un premier temps, le curateur s'était montré favorable à la levée de la mesure dans sa détermination du 21 novembre 2023, il est revenu sur sa position lors de l'audience du 29 janvier 2024 devant la Justice de paix. En effet, il a souligné que la situation avait changé, puisqu'auparavant, D.________ vivait chez sa mère et entretenait de bonnes relations avec son père lors du droit de visite usuel qui était normalement effectué, alors que maintenant, D.________ vit avec son père et ne voit plus sa mère. Il estime donc que la curatelle de surveillance des relations personnelles doit être maintenue. Dans son recours, le recourant estime que ses enfants sont grands et libres de choisir ce qu'ils veulent. S'il est vrai qu'il faut absolument tenir compte de leur avis, il n'en demeure pas moins qu'ils sont touchés et influencés par les conflits qui opposent leurs parents et qu'au vu des difficultés de communication, il est encore nécessaire qu'une personne neutre puisse les conseiller et veiller à leur bien, cela d'autant plus au vu de la nouvelle situation qui s'est installée. Le fait que les enfants soient bientôt majeurs ne change rien à cela, puisqu'au contraire, ils entrent dans une phase de leur vie où ils devront faire des choix quant à leur avenir professionnel notamment et qu'il sera important qu’ils puissent le faire le plus sereinement possible. Lors de l'audience, le curateur a indiqué qu'il avait discuté avec D.________ et avait établi un planning pour le droit de visite avec sa mère. Toutefois, D.________ n'était pas prêt à revoir cette dernière et il ne l'a pas obligé. Le curateur a également précisé qu'il allait reprendre contact avec C.________ concernant le droit de visite avec son père. Dans la mesure où chacun des enfants a perdu plus ou moins le contact avec l'un des parents et que ces derniers ne sont pas en mesure de régler cette problématique par eux-mêmes, il est manifeste que le curateur a encore un rôle important à jouer. Au vu de ce qui précède, le refus de lever la curatelle de surveillance des relations personnelles au sens de l'art. 308 al. 2 CC doit être confirmé. 3. Le recourant conteste également l'injonction d'entreprendre une médiation familiale. 3.1. Selon l'art. 314 al. 2 CC, l'autorité de protection de l'enfant peut, si elle l'estime utile, exhorter les parents de l'enfant à tenter une médiation. La disposition est calquée sur l'art. 297 al. 2 CPC, applicable à l'ensemble des procédures du droit de la famille (MEIER/STETTLER, n. 1695, p. 1104). Selon la jurisprudence du Tribunal fédéral, la mesure visant à inviter les parents à suivre une médiation destinée à améliorer la communication entre les parents peut être qualifiée de mesure de protection de l’enfant et peut être imposée contre la volonté des parents sur la base de l’art. 307 al. 3 CC (arrêts TF 5A_598/2020 du 24 août 2020 consid. 3; 5A_852/2011 du 20 février 2012 consid. 6 et 5A_457/2009 du 9 décembre 2009 consid. 4; MEIER, L’enfant et la nouvelle procédure civile in Droit de la famille et nouvelle procédure, 2012, p. 59; MEIER/STETTLER, n. 1695, p. 1104). 3.2. En l'espèce, il ressort du dossier que les ex-époux ont de grosses difficultés de communication. Le recourant indique même qu'il ne veut plus aucun contact avec son ex-épouse. Or, dans la mesure où ils ont eu deux enfants ensemble, que ceux-ci sont encore mineurs et que les parents ont l'autorité parentale conjointe, un minimum de communication est indispensable. De plus, comme le souligne l'intimée, malgré leurs difficultés de communication existant depuis le début de leur séparation, les ex-époux n'ont jamais eu recours à une médiation et, au vu de l'âge des enfants, ceux-ci pourraient, dans un deuxième temps, être intégrés dans celle-ci, ce qui ne peut qu'être bénéfique pour la famille. Ainsi, même si le recourant se montre totalement opposé à une telle mesure, celle-ci peut lui être imposée, puisqu'elle est dans l'intérêt du bien des enfants.</w:t>
      </w:r>
    </w:p>
    <w:p>
      <w:r>
        <w:t>Tribunal cantonal TC Page 7 de 8 S'agissant des frais relatifs à cette médiation, ils doivent effectivement être répartis par moitié entre les deux parents conformément à l'art. 218 al. 1 CPC. Toutefois, comme mentionné par la Justice de paix, si ces derniers n'ont pas les moyens nécessaires pour faire face à cette dépense, ils peuvent faire une demande d'assistance judiciaire auprès de la Justice de paix (cf. art. 218 al. 2 CPC). La désignation de la médiatrice et l'énumération des tâches qui lui sont attribuées sont pertinentes et ne prêtent pas le flanc à la critique. Dans ces circonstances, l'injonction faite aux parents d'entreprendre une médiation familiale afin de rétablir une communication ainsi qu'un lien de confiance entre eux et à travailler sur leur coparentalité et leur organisation correspond au bien des enfants et constitue même un moyen adéquat et nécessaire pour accompagner les parents avant de pouvoir envisager une suppression de la curatelle de surveillance. 4. 4.1. Au vu des considérants qui précèdent, le recours doit être rejeté et la décision querellée confirmée. 4.2.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Quant aux règles de répartition, ce sont celles des art. 106 ss CPC. Le principe est donc que la partie qui succombe supporte les frais (art. 106 al. 1 CPC) ou qu'ils sont répartis entre les parties, selon le sort de la cause, lorsqu'aucune d'elles n'obtient entièrement gain de cause (art. 106 al. 2 CPC). 4.3. En l'espèce, compte tenu du rejet du recours, les frais sont mis à la charge de A.________. Les frais judiciaires de la procédure de recours sont fixés forfaitairement à CHF 400.- (art. 19 al. 1 RJ). En application de l'art. 6 al. 3 LPEA, des dépens seront alloués en faveur de B.________, lesquels sont fixés de manière globale à CHF 750.-, débours compris, mais TVA par CHF 60.75 en sus, conformément à l'art. 64 al. 1 let. c RJ. (dispositif en page suivante)</w:t>
      </w:r>
    </w:p>
    <w:p>
      <w:r>
        <w:t>Tribunal cantonal TC Page 8 de 8 la Cour arrête : I. Le recours est rejeté. Partant, la décision de la Justice de paix de l'arrondissement de la Sarine du 29 janvier 2024 est confirmée. II. Les frais judiciaires de la procédure de recours, arrêtés à CHF 400.-, sont mis à la charge de A.________. III. Les dépens de B.________, dus à Me Marie-Eve Guillod, sont fixés globalement à CHF 810.75, TVA par CHF 60.75 comprise, et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2024/meg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