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35 vom 5. Dezember 2024</w:t>
      </w:r>
    </w:p>
    <w:p>
      <w:r>
        <w:t>FR Kantonsgericht, 2024-12-05, FR</w:t>
      </w:r>
    </w:p>
    <w:p>
      <w:r>
        <w:rPr>
          <w:b/>
        </w:rPr>
        <w:t xml:space="preserve">Quelle: </w:t>
      </w:r>
      <w:r>
        <w:t>https://mcp.opencaselaw.ch/entscheid/fr_gerichte_106_2024_35</w:t>
      </w:r>
    </w:p>
    <w:p>
      <w:r>
        <w:t>FR: FR_GERICHTE 106 2024 35 du 5 décembre 2024</w:t>
      </w:r>
    </w:p>
    <w:p>
      <w:r>
        <w:t>IT: FR_GERICHTE 106 2024 35 del 5 dicembre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8</w:t>
      </w:r>
    </w:p>
    <w:p>
      <w:r>
        <w:t>avril 2019 consid. 3.1 et les références citées). 2.1.2.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Si, en revanche,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L'établissement d'un droit de visite surveillé nécessite des indices concrets de mise en danger du bien de l'enfant ; il ne suffit pas que ce dernier risque abstraitement de subir une mauvaise influence pour qu'un tel droit de visite soit instauré. Il convient dès lors de faire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TF 5A_334/2018 du 7 août 2018 consid. 3.1 et les références citées). 2.2. En l’occurrence, la Justice de paix a motivé comme suit sa décision d’approuver le planning établi par la curatrice pour l’année 2024 – comprenant un droit de visite durant le week-end du 20 au 21 juillet – et d’accorder au père un droit de visite extraordinaire du 22 décembre 2024 au 5 janvier 2025 : « En l’espèce, la Justice de paix constate que l’exercice du droit aux relations personnelles de B.________ sur son fils C.________ continue d’être l’objet de désaccords et tensions entre les parents malgré tous les mécanismes mis en place jusqu’à maintenant. Il convient toutefois de préciser que le jugement de divorce remonte à plus de quatre ans, entre temps l'enfant aura bientôt 10 ans et les envies et besoins des parents évoluent également avec le temps. L’Autorité de céans constate toutefois que les vacances prévues dans la</w:t>
      </w:r>
    </w:p>
    <w:p>
      <w:r>
        <w:t>Tribunal cantonal TC Page 11 de 17 décision du 12 octobre 2020 du Président du Tribunal civil de la Veveyse sont moindres par rapport à un droit de visite usuel qui prévoit que le parent non-gardien a droit à la moitié des vacances scolaires. Dans le but d’apaiser les tensions parentales une nouvelle fois et de préserver le bien-être de C.________, la Justice de paix considère qu’il est nécessaire de fixer le droit aux relations personnelles pour l’année courante par manque de collaboration et de bonne volonté des parents. Partant, en application de l’art. 273 CC, la Justice de paix décide d’accorder exceptionnellement à B.________ des vacances avec son fils du 22 décembre 2024 au 5 janvier 2025, soit les deux semaines de vacances scolaires. Pour le surplus, le planning établi par F.________ le 19 janvier 2024 est approuvé. ». 2.3. Dans son recours, A.________ soutient que la décision attaquée, qui élargit le droit de visite de B.________ à cinq semaines de vacances au lieu de quatre sur l’année 2024, en la privant de pouvoir fêter Noël et Nouvel An en famille avec C.________ et en l’empêchant de pouvoir passer deux semaines de vacances en continu avec son fils durant l’été, est incompréhensible dans le contexte dans lequel elle a été rendue. La recourante souligne avoir requis, le 5 juin 2023, une restriction du droit de visite de B.________ et la mise en œuvre de différentes mesures d’instruction telles qu’une expertise. Elle rappelle que la Justice de paix a ordonné, par décision du 9 octobre 2023, la mise en œuvre d’une expertise familiale dont les résultats, attendus pour le 30 juin 2024, devaient permettre de mieux comprendre la situation de l’enfant C.________, en déterminant notamment si les parties expertisées souffraient de troubles psychiques ou de difficultés de comportement. La recourante précise que, dans son arrêt du 3 février 2017, la Cour de céans avait déjà relevé le problème de comportement de B.________ dans le cadre du conflit parental et souligné l’incidence d’un tel comportement sur le développement psychologique de C.________. Elle relève que, depuis lors, les tests effectués par le père ont démontré qu’il consommait de l’alcool, bien que pas forcément de manière excessive, et que ce dernier ne s’est pas soumis à un suivi auprès d’EX-pression ni n’a suivi de guidance parentale, malgré les décisions qui l’y astreignaient. Elle indique avoir relayé régulièrement à la Justice de paix les problèmes de consommation d’alcool et de comportement du père, en particulier dans ses écritures du 5 juin 2023 et du 6 mai 2024, tandis que les thérapeutes de C.________ ont signalé la situation de l’enfant à plusieurs reprises, sans suite. Selon elle, le droit de visite de B.________ ne pouvait être élargi dans ces conditions. Il devait au contraire être restreint et encadré. Des tests devaient au surplus être ordonnés rapidement pour déterminer si le père souffre d’addictions. Dans sa détermination du 7 août 2024 sur le rapport de police du 18 juillet 2024, l'ordonnance de non-entrée en matière du 22 juillet 2024 (cf. supra let. M) et le rapport d'expertise familiale du 14 juin 2024 (cf. supra let. O), A.________ indique adhérer aux conclusions et recommandations de l’experte. Elle relève néanmoins que celle-ci n’a pas eu connaissance des évènements survenus la nuit du 5 au 6 juillet 2024. Or, depuis cet épisode, C.________ exprimerait le désir de ne plus vouloir voir B.________, mais d’avoir avec lui des contacts seulement téléphoniques, ce uniquement lorsqu’il le souhaite et à condition que son père ne formule à son égard ni reproches ni représailles. Pour rappel, dans le cadre de sa détermination du 7 août 2024, A.________ a modifié ses conclusions au fond. Elle conclut désormais à ce que le droit de visite du père soit fixé selon les recommandations de la Dre N.________ une fois qu'elle aura complété son rapport d'expertise au regard du rapport de police du 18 juillet 2024, à ce que F.________ soit relevée de sa fonction de curatrice, un nouveau curateur étant désigné, et à ce que les frais soient mis à la charge de B.________. Il a toutefois été vu ci-avant que ses conclusions tendant à un changement de curateur sont irrecevables (cf. supra consid. 1.4).</w:t>
      </w:r>
    </w:p>
    <w:p>
      <w:r>
        <w:t>Tribunal cantonal TC Page 12 de 17 2.4. Dans sa réponse du 10 juillet 2024, B.________ oppose que la recourante cherche depuis la séparation et par tous les moyens à restreindre au maximum les relations personnelles entre lui et son fils. Il soutient que son droit de visite, élargi très progressivement jusqu’à la décision du</w:t>
      </w:r>
    </w:p>
    <w:p>
      <w:r>
        <w:rPr>
          <w:b/>
        </w:rPr>
        <w:t>E. 12</w:t>
      </w:r>
    </w:p>
    <w:p>
      <w:r>
        <w:t>juillet et 20 août 2024. Dans ces conditions, qui plus est dans ce litige qui relève du droit de la famille, il se justifie que chacune des parties supporte la moitié des frais judiciaires ainsi que ses propres dépens. 3.3. Les frais judiciaires sont fixés forfaitairement à CHF 1'000.-. 3.4. Si l’instance de recours statue à nouveau, elle se prononce sur les frais de première instance (art. 327 al. 3 let. b CPC, par analogie art. 318 al. 3 CPC ; PC CPC-BASTONS BULLETTI, 2021, art. 327 n. 12). En l’espèce, la Justice de paix a décidé que les frais judiciaires dus à l’Etat, fixés à CHF 293.- étaient mis à la charge de A.________ et de B.________ par moitié chacun. Dans la mesure où l’admission partielle du recours résulte essentiellement de faits nouveaux survenus depuis le prononcé de la décision attaquée, il ne se justifie pas de revenir sur cette répartition, les parties ne le demandant d’ailleurs pas. 4. Par actes du 13 mai 2024, respectivement du 10 juillet 2024, A.________ et B.________ ont tous deux requis le bénéfice de l’assistance judiciaire pour la procédure de recours. 4.1. Aux termes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 1 let. c CPC). L’indigence est usuellement définie comme le fait de ne pas pouvoir assumer les frais de la procédure sans porter atteinte au minimum nécessaire à son entretien et à celui de sa famille (ATF 145 III 531 consid. 4.1). 4.2. 4.2.1. En l’espèce, il ressort des pièces produites par A.________ que cette dernière réalise un revenu mensuel net moyen de CHF 3'131.- hors allocations familiales pour son activité à 60 % auprès de O.________ SA, à P.________ ([CHF 3'155.55 - CHF 265.-] x 13 / 12 pour janvier 2024 ; [CHF 3'685.55 - CHF 530.- - CHF 265.-] x 13 / 12 pour avril 2024). Dès lors qu’elle vit en concubinage, les charges de la requérante peuvent être estimées à CHF 3'033.- (montant de base par CHF 1'062.50 [CHF 1'700.- / 2 + 25 %] + loyer par CHF 735.- [CHF 2'100.- / 2 – 30 % de part au logement des enfants] + assurance RC/ménage par CHF 40.- [CHF 80.- / 2] + prime Firstcaution par CHF 15.- [CHF 351.75 / 12 / 2] + primes d’assurance maladie LAMal et LCA par CHF 344.- + leasing par CHF 303.- + assurance RC/véhicule par CHF 122.- [CHF 1'459.30 / 12] + impôt sur le véhicule par CHF 42.- [CHF 251.60 / 6] + frais de déplacement professionnels par CHF 130.- [9 km x 2 x 18.83 jours x 60 % x 0.08 l/km x CHF 1.80 + CHF 100.-] + frais de repas par CHF 120.- [18.83 jours x 60 % x CHF 10.-] + forfait assurances et communication par CHF 120.-). Le solde disponible de la requérante après paiement des charges précitées s’élève à CHF 98.-. Ce solde est absorbé par l’entretien de C.________. La décision du 12 octobre 2020 du Président du</w:t>
      </w:r>
    </w:p>
    <w:p>
      <w:r>
        <w:t>Tribunal cantonal TC Page 15 de 17 Tribunal prévoit en effet que B.________ doit verser une pension de CHF 400.- par mois en faveur de son fils, alors que l’entretien convenable de ce dernier se monte à CHF 914.- et les allocations familiales à CHF 265.-. L’indigence de la requérante, qui doit encore subvenir aux besoins de son second fils Q.________ et s’acquitter d’éventuels impôts, doit dès lors être admise. Sa cause n’était en outre pas dépourvue de toute chance de succès et l’assistance d’un avocat était nécessaire, eu égard à la nature de l’affaire et aux intérêts en jeu. En conséquence, sa requête sera admise, étant rappelé que l'assistance judiciaire est remboursable dès que la partie est en mesure de le faire (art. 123 al. 1 CPC). 4.2.2. Conformément à l'art. 57 al. 1 RJ, l'indemnité équitable allouée au défenseur d'office est fixée compte tenu du travail requis ainsi que de l'importance et de la difficulté de l'affaire ; les dépens étant fixés de manière globale dans ce domaine, l'indemnité de défenseur d'office le sera aussi, ce que permet l'art. 57 al. 2 RJ a contrario ; il n'y a ainsi pas lieu d'inviter la mandataire à produire sa liste de frais. En tenant compte des critères précités, il se justifie d'allouer un montant de CHF 1'500.-, débours compris et TVA par CHF 121.50 (8,1 % de CHF 1'500.-) en sus, à Me Caroline Vermeille, à titre d'indemnité de défenseure d'office pour la procédure de recours. 4.3. 4.3.1. Des pièces produites par B.________, il ressort que ce dernier réalise un revenu mensuel net de CHF 4'034.- (CHF 4'463.65 - CHF 430.- de saisie) pour son activité auprès de R.________ SA, à S.________. Ses charges peuvent être estimées à CHF 3'885.- (montant de base par CHF 1'500.- + loyer par CHF 900.- hors charges + charges estimées à CHF 200.- + primes d’assurance maladie LAMal et LCA par CHF 330.- + prime d’assurance RC/ménage par CHF 30.- [CHF 355.10 / 12] + prime d’assurance vie par CHF 100.- + prime d’assurance RC/véhicule par CHF 125.- [CHF 743.50 / 6] + frais de déplacement par CHF 130.- [45 km x 2 x 18.83 jours x 0.08 l/km x CHF 1.80 + CHF 100.-] + forfait assurances et communication par CHF 120.- + pension due pour C.________ par CHF 400.- + impôts par CHF 50.- [CHF 607.80 / 12]). Après paiement des charges précitées, le requérant dispose d’un solde disponible de CHF 149.-, de sorte que son indigence peut être admise. Sa cause n’était en outre pas dépourvue de toute chance de succès et l’assistance d’un avocat était nécessaire, eu égard à la nature de l’affaire et aux intérêts en jeu. En conséquence, sa requête sera admise, étant rappelé que l'assistance judiciaire est remboursable dès que la partie est en mesure de le faire (art. 123 al. 1 CPC). 4.3.2. En tenant compte du travail requis, de la nature et de la difficulté de la cause, il se justifie d’allouer à Me Frédérique Riesen un montant de CHF 1'500.-, débours compris et TVA par CHF 121.50 (8,1 % de CHF 1'500.-) en sus, à titre d’indemnité de défenseure d’office pour la procédure de recours.</w:t>
      </w:r>
    </w:p>
    <w:p>
      <w:r>
        <w:t>Tribunal cantonal TC Page 16 de 17 la Cour arrête : I. Le recours est partiellement admis, dans la mesure de sa recevabilité. Partant, le chiffre I de la décision du 8 avril 2024 de la Justice de paix de la Veveyse est modifié et prend désormais la teneur suivante : I. B.________ est autorisé à prendre contact par téléphone avec son fils C.________ une fois par semaine, à raison de 15 minutes au maximum par contact, la curatrice de surveillance des relations personnelles étant chargée de fixer le jour et l’heure des appels à défaut d’entente entre les parents. En l’état, les relations personnelles entre B.________ et son fils C.________ sont suspendues pour le surplus. Le dispositif est maintenu pour le surplus. II. Sous réserve de l’assistance judiciaire, chaque partie supporte ses propres dépens et la moitié des frais judiciaires de la procédure de recours, fixés forfaitairement à CHF 1'000.-. III. La requête d’assistance judiciaire déposée le 13 mai 2024 par A.________ est admise. Partant, pour la procédure de recours, l'assistance judiciaire est accordée à A.________, qui est en conséquence exonérée des frais judiciaires et à qui est désignée une défenseure d'office en la personne de Me Caroline Vermeille, avocate à Bulle. IV. La requête d’assistance judiciaire déposée le 10 juillet 2024 par B.________ est admise. Partant, pour la procédure de recours, l'assistance judiciaire est accordée à B.________, qui est en conséquence exonéré des frais judiciaires et à qui est désignée une défenseure d'office en la personne de Me Frédérique Riesen, avocate à Bulle. V. Une indemnité de CHF 1'500.-, TVA par CHF 121.50 en sus, est accordée à Me Caroline Vermeille en sa qualité de défenseure d’office de A.________. VI. Une indemnité de CHF 1'500.-, TVA par CHF 121.50 en sus, est accordée à Me Frédérique Riesen en sa qualité de défenseure d’office de B.________.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17 de 17 Fribourg, le 5 décembre 2024/eda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