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108 vom 15. September 2022</w:t>
      </w:r>
    </w:p>
    <w:p>
      <w:r>
        <w:t>FR Kantonsgericht, 2022-09-15, FR</w:t>
      </w:r>
    </w:p>
    <w:p>
      <w:r>
        <w:rPr>
          <w:b/>
        </w:rPr>
        <w:t xml:space="preserve">Quelle: </w:t>
      </w:r>
      <w:r>
        <w:t>https://mcp.opencaselaw.ch/entscheid/fr_gerichte_106_2022_108</w:t>
      </w:r>
    </w:p>
    <w:p>
      <w:r>
        <w:t>FR: FR_GERICHTE 106 2022 108 du 15 septembre 2022</w:t>
      </w:r>
    </w:p>
    <w:p>
      <w:r>
        <w:t>IT: FR_GERICHTE 106 2022 108 del 15 settembre 2022</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(ci- après : la Cour ; art. 450 al. 1 CC, 8 de la loi du 15 juin 2012 concernant la protection de l'enfant et de l'adulte [LPEA, RSF 212.5.1] et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ce qui est le cas en l’espèce.</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ainsi aux exigences de motivation.</w:t>
      </w:r>
    </w:p>
    <w:p>
      <w:r>
        <w:rPr>
          <w:b/>
        </w:rPr>
        <w:t>E. 1.5</w:t>
      </w:r>
    </w:p>
    <w:p>
      <w:r>
        <w:t>A.________ a qualité pour recourir (art. 450 al. 2 ch. 1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2.1</w:t>
      </w:r>
    </w:p>
    <w:p>
      <w:r>
        <w:t>La Justice de paix a retenu que A.________ avait besoin de protection et n'était pas en mesure d'assurer lui-même la gestion de son patrimoine et les rapports juridiques avec les tiers en raison d'un état de faiblesse affectant sa condition personnelle. Elle a relevé que l'intéressé s'était reposé sur sa compagne pour la gestion de ses affaires, alors que celle-ci est épuisée et elle-même au bénéfice d'une mesure de curatelle. Elle a donc constaté que puisque la compagne du recourant n'est plus en mesure de l’assister, il devra gérer seul ses affaires. Or, la Justice de paix a souligné que lors de la séance du 15 février 2022, A.________ avait demandé I'institution d'une mesure de curatelle en sa faveur exposant ne pas être en mesure de gérer ses affaires. La Justice de paix a également relevé que la curatrice de B.________ s’était dite favorable à I'institution d'une mesure de protection en faveur de l'intéressé et que celui-ci en avait besoin. La Justice de paix n’a en revanche pas pris en considération le changement d’avis de l’intéressé quant à l’institution d’une curatelle en sa faveur dès lors que le principe et les effets d'une mesure de protection de l'adulte lui ont été clairement expliqués lors de la séance de la Justice de paix, qu'il a affirmé les avoir compris et qu'il s'est déclaré favorable à l'institution d'une telle mesure en sa faveur. Enfin la Justice de paix a souligné qu’il s’agissait de veiller aux intérêts de l'intéressé et de s'assurer qu'il puisse bénéficier d'une situation administrative et financière saine et stable, mais également et de manière indirecte que les intérêts de sa compagne et sa famille soient préservés.</w:t>
      </w:r>
    </w:p>
    <w:p>
      <w:r>
        <w:t>Tribunal cantonal TC Page 4 de 6</w:t>
      </w:r>
    </w:p>
    <w:p>
      <w:r>
        <w:rPr>
          <w:b/>
        </w:rPr>
        <w:t>E. 2.2</w:t>
      </w:r>
    </w:p>
    <w:p>
      <w:r>
        <w:t>Le recourant conteste l’institution d’une mesure de curatelle en sa faveur. Il soutient que lors de la séance de la Justice de paix du 15 février 2022, il pensait qu’il était question d’une curatelle en faveur de sa compagne et non en sa faveur, raison pour laquelle il s’est montré favorable à son institution. Il ajoute qu’il a effectivement eu quelques difficultés à trouver un emploi fixe, ce qui a engendré des dépenses indésirables, mais qu’il travaille maintenant à plein temps avec un salaire qui lui permet de faire vivre sa famille.</w:t>
      </w:r>
    </w:p>
    <w:p>
      <w:r>
        <w:rPr>
          <w:b/>
        </w:rPr>
        <w:t>E. 2.3</w:t>
      </w:r>
    </w:p>
    <w:p>
      <w:r>
        <w:t>Le Tribunal fédéral a rappelé les principes suivants (cf. arrêt TF 5A_192/2018 du 30 avril 2018 consid. 3.1 et les références citées):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Quant à la notion d’état de faiblesse, elle permet de protéger les personnes très âgées, celles qui souffrent de graves handicaps physiques (paralysie grave ou cécité doublée d'une surdité), ou celles que des cas extrêmes d’inexpérience, de gaspillage et de mauvaise gestion empêchent de gérer leurs affaires conformément à leurs intérêts (arrêt TF 5A_844/2017 du 15 mai 2018 consid. 3.4.1; STEINAUER/FOUNTOULAKIS, Droit des personnes physiques et de la protection de l’adulte, 2014 p. 43 n. 133). L'origine de la faiblesse doit se trouver dans la personne même de l'intéressé et non résulter de circonstances extérieures. Cette notion résiduelle doit être interprétée restrictivement et ne devrait être utilisée qu’exceptionnellement, faute de quoi elle pourrait être employée en vue du redressement social et moral d’une partie non négligeable de la population, ce qui n’est pas le rôle du droit de la protection de l’adulte (MEIER in Leuba (et al.), CommFam, Protection de l’adulte, 2013, art. 390 n. 17). En revanche, la seule détresse financière ne justifie pas l’institution de mesures de protection de l’adulte, à moins que la personne concernée ne parvienne pas à solliciter des prestations sociales en raison d’un état de faiblesse (SCHMID, Erwachsenenschutz, Zurich, 2010, art. 390 n. 8). Une curatelle ne peut donc pas être instituée simplement pour aider une personne à surmonter des difficultés financières qui n’ont pas leur origine dans une faiblesse de la volonté ou de l’intelligence (STEINAUER/FOUNTOULAKIS, p. 43 n. 133). Il faut encore que l'existence de l'une des causes précitées empêche partiellement ou totalement la personne concernée d'assurer elle-même la sauvegarde de ses intérêts.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w:t>
      </w:r>
    </w:p>
    <w:p>
      <w:r>
        <w:t>Tribunal cantonal TC Page 5 de 6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w:t>
      </w:r>
    </w:p>
    <w:p>
      <w:r>
        <w:rPr>
          <w:b/>
        </w:rPr>
        <w:t>E. 2.4</w:t>
      </w:r>
    </w:p>
    <w:p>
      <w:r>
        <w:t>En l’espèce, la Justice de paix a retenu que le recourant se trouvait dans un autre état de faiblesse qui affecte sa condition personnelle. Il est vrai que le recourant et sa compagne ont traversé une période financièrement compliquée dès lors que le recourant n’avait pas d’emploi fixe. La Cour constate également que la compagne du recourant, qui souffre de polyarthrite chronique et d’un trouble de la personnalité bordeline et qui s’occupe de ses quatre enfants, est épuisée et a été mise au bénéfice d’une curatelle de représentation et de gestion. Une curatelle éducative a également dû être mise en place en faveur des enfants. La famille se trouve donc certes dans une situation personnelle et financière délicate et assez fragile, mais elle est maintenant encadrée et soutenue. Il est vrai également que jusqu’alors, c’est la compagne du recourant qui s’occupait de ses affaires administratives, comme l’ont déclarés ces derniers en séance. Il ne ressort toutefois pas du dossier que le recourant ne serait pas en mesure de les gérer lui-même, ce qu’il a déclaré être capable de faire en audience de la Justice de paix, à son médecin et dans son recours. Dans son rapport du 19 juin 2022, le médecin généraliste du recourant n’a d’ailleurs pas fait état d’élément sur le plan psychique ou physique qui empêcherait son patient d'assurer lui-même la sauvegarde de ses intérêts. Le recourant a certes des poursuites et des actes de défaut de biens. Ils se montent cependant à CHF 5'319.70 au total, et non comme l’a retenu la Justice de paix à CHF 5'319.70 de poursuites et CHF 5'947.- d’actes de défaut de biens. Par ailleurs, deux poursuites, comptabilisant CHF 502.65 au total, sont déjà éteintes. Il ne peut ainsi être retenu que sa situation est très obérée et dénote une incapacité à se gérer. Les poursuites portent en outre presque exclusivement sur des primes d’assurance-maladie et des impôts impayés. Il ne s’agit donc pas de dépenses somptuaires. Il ne ressort pas non plus du reste du dossier que le recourant ait effectué des achats inconsidérés. Il semble en outre que le recourant a maintenant trouvé un emploi à durée indéterminée dans le commerce de détail (cf. DO 11 et recours), ce qui va permettre à la famille de stabiliser sa situation financière. Il est vrai que la curatrice de la compagne du recourant s’est montrée favorable à l’institution d’une curatelle également en faveur du recourant, soulignant qu’il a en besoin (DO 8). Or, ce seul avis, qui n’est au demeurant pas développé ni motivé, ne suffit pas, au vu du reste du dossier, pour retenir un état de faiblesse affectant la condition personnelle permettant d’imposer une mesure de protection. Le seul fait d’avoir des difficultés financières passagères et une situation</w:t>
      </w:r>
    </w:p>
    <w:p>
      <w:r>
        <w:t>Tribunal cantonal TC Page 6 de 6 familiale compliquée n’étant pas constitutif d’extrême inexpérience ou de mauvaise gestion. Il s’ensuit l’admission du recours et l’annulation de la décision attaquée.</w:t>
      </w:r>
    </w:p>
    <w:p>
      <w:r>
        <w:rPr>
          <w:b/>
        </w:rPr>
        <w:t>E. 3</w:t>
      </w:r>
    </w:p>
    <w:p>
      <w:r>
        <w:t>Les frais judiciaires, par CHF 300.-, seront mis à la charge de l’Etat (art. 106 al. 1 CPC). Aucun dépens ne sera en revanche alloué au recourant dès lors qu’il n’a pas d’avocat et que selon l’art. 6 al. 3 LPEA, l’Etat ne peut pas être condamné au paiement de dépens; cette dispense ne viole pas le droit fédéral (ATF 142 III 110). la Cour arrête : I. Le recours est admis. Partant, la décision de la Justice de paix de l’arrondissement de la Sarine du 22 juin 2022 est annulée. II. Les frais judiciaires de la procédure de recours, par CHF 300.-,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septembre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