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22 vom 27. April 2021</w:t>
      </w:r>
    </w:p>
    <w:p>
      <w:r>
        <w:t>FR Kantonsgericht, 2021-04-27, FR</w:t>
      </w:r>
    </w:p>
    <w:p>
      <w:r>
        <w:rPr>
          <w:b/>
        </w:rPr>
        <w:t xml:space="preserve">Quelle: </w:t>
      </w:r>
      <w:r>
        <w:t>https://mcp.opencaselaw.ch/entscheid/fr_gerichte_106_2021_22</w:t>
      </w:r>
    </w:p>
    <w:p>
      <w:r>
        <w:t>FR: FR_GERICHTE 106 2021 22 du 27 avril 2021</w:t>
      </w:r>
    </w:p>
    <w:p>
      <w:r>
        <w:t>IT: FR_GERICHTE 106 2021 22 del 27 aprile 2021</w:t>
      </w:r>
    </w:p>
    <w:p>
      <w:pPr>
        <w:pStyle w:val="Heading2"/>
      </w:pPr>
      <w:r>
        <w:t>Regeste</w:t>
      </w:r>
    </w:p>
    <w:p>
      <w:r>
        <w:t>Arrêt de la Cour de protection de l'enfant et de l'adulte du Tribunal cantonal | Erwachsenenschutz</w:t>
      </w:r>
    </w:p>
    <w:p>
      <w:pPr>
        <w:pStyle w:val="Heading2"/>
      </w:pPr>
      <w:r>
        <w:t>Erwägungen</w:t>
      </w:r>
    </w:p>
    <w:p>
      <w:r>
        <w:rPr>
          <w:b/>
        </w:rPr>
        <w:t>E. 2</w:t>
      </w:r>
    </w:p>
    <w:p>
      <w:r>
        <w:t>Compte tenu de l’issue du recours, les frais judiciaires relatifs à la procédure de recours sont mis à la charge des recourants solidairement (art. 106 al. 1 CPC). Ils sont fixés forfaitairement à CHF 200.- (art. 19 al. 1 RJ). (dispositif en page suivante)</w:t>
      </w:r>
    </w:p>
    <w:p>
      <w:r>
        <w:t>Tribunal cantonal TC Page 5 de 5 la Cour arrête : I. Le recours est irrecevable. II. Les frais de la procédure de recours, arrêtés à CHF 200.-, sont mis à la charge de A.________ et B.________ solidairement.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2021/jde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