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80 vom 1. Oktober 2020</w:t>
      </w:r>
    </w:p>
    <w:p>
      <w:r>
        <w:t>FR Kantonsgericht, 2020-10-01, FR</w:t>
      </w:r>
    </w:p>
    <w:p>
      <w:r>
        <w:rPr>
          <w:b/>
        </w:rPr>
        <w:t xml:space="preserve">Quelle: </w:t>
      </w:r>
      <w:r>
        <w:t>https://mcp.opencaselaw.ch/entscheid/fr_gerichte_106_2020_80</w:t>
      </w:r>
    </w:p>
    <w:p>
      <w:r>
        <w:t>FR: FR_GERICHTE 106 2020 80 du 1 octobre 2020</w:t>
      </w:r>
    </w:p>
    <w:p>
      <w:r>
        <w:t>IT: FR_GERICHTE 106 2020 80 del 1 ottobre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recours a été interjeté dans le délai légal.</w:t>
      </w:r>
    </w:p>
    <w:p>
      <w:r>
        <w:rPr>
          <w:b/>
        </w:rPr>
        <w:t>E. 1.3</w:t>
      </w:r>
    </w:p>
    <w:p>
      <w:r>
        <w:t>A.________ a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2.1</w:t>
      </w:r>
    </w:p>
    <w:p>
      <w:r>
        <w:t>A.________ conteste le rejet de sa requête de garde partagée sur son fils. Il soutient que la Justice de paix n’a pas trouvé de motivation cohérente ni justifiable à ce rejet. Il relève que cette demande émane également de son fils qui souhaite passer plus de temps avec lui. Il souligne qu’il joue un rôle important dans la vie de son fils et qu’il s’implique dans celle-ci.</w:t>
      </w:r>
    </w:p>
    <w:p>
      <w:r>
        <w:rPr>
          <w:b/>
        </w:rPr>
        <w:t>E. 2.2</w:t>
      </w:r>
    </w:p>
    <w:p>
      <w:r>
        <w:t>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La garde alternée est la situation dans laquelle les parents exercent en commun l'autorité parentale, mais se partagent la garde de l'enfant d'une façon alternée pour des périodes plus ou moins égales, pouvant être fixées en jours ou en semaines, voire en mois (arrêt TF 5A_69/2011 du 27 février 2012 consid. 2.1). Bien que l'autorité parentale conjointe soit désormais la règle et qu'elle comprenne le droit de déterminer le lieu de résidence de l'enfant, elle n'implique pas</w:t>
      </w:r>
    </w:p>
    <w:p>
      <w:r>
        <w:t>Tribunal cantonal TC Page 4 de 8 nécessairement l'instauration d'une garde alternée (arrêt TF 5A_904/2015 du 29 septembre 2016 consid. 3.2.3). Le terme "garde" se réfère à la prise en charge effective de l'enfant (arrêt TF 5A_985/2014 du 25 juin 2015 consid. 3.2.1), soit le droit de pouvoir effectivement s'en occuper. Un large droit de visite, qui dépasse ce qui est usuellement accordé, équivaut en réalité à une garde alternée (arrêt TF 5A_495/2008 du 30 octobre 2008 consid. 4.2). Ainsi et par exemple, un parent qui accueille son enfant trois jours par semaine en « droit de visite » exerce alors la garde de fait. Selon l’art. 298b al. 3ter CC, entré en vigueur le 1er janvier 2017 et d’application immédiate jusqu’en dernière instance cantonale (art. 13c Titre final CC), lorsque l'autorité parentale est exercée conjointement, l'autorité de protection de l'enfant examine, selon le bien de l'enfant, la possibilité de la garde alternée, si le père, la mère ou l'enfant la demande. Cette disposition reprend en fait la jurisprudence fédérale selon laquelle le juge doit examiner,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ainsi que l'existence d'une bonne capacité et volonté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compte le souhait de l'enfant s'agissant de sa propre prise en charge, quand bien même il ne disposerait pas de la capacité de discernement à cet égard (ATF 142 III 617 consid. 3.2.3).</w:t>
      </w:r>
    </w:p>
    <w:p>
      <w:r>
        <w:rPr>
          <w:b/>
        </w:rPr>
        <w:t>E. 2.3</w:t>
      </w:r>
    </w:p>
    <w:p>
      <w:r>
        <w:t>La Justice de paix a retenu que la garde exclusive de la mère sur l’enfant résulte de la convention concernant la prise en charge, l’autorité parentale conjointe et l’entretien de C.________ du 14 mai 2013, approuvée par la Justice de paix par décision du 15 mai 2013. Elle a également tenu compte du fait que le conflit entre les parents est extrêmement fort et durable et en a déduit que cette situation ne permet pas la collaboration attendue entre les parents dans le cadre d’une garde partagée. Partant, elle a rejeté la requête de garde partagée.</w:t>
      </w:r>
    </w:p>
    <w:p>
      <w:r>
        <w:rPr>
          <w:b/>
        </w:rPr>
        <w:t>E. 2.4</w:t>
      </w:r>
    </w:p>
    <w:p>
      <w:r>
        <w:t>En l’espèce, le recourant n’a pas soulevé de nouveaux arguments par rapport à ceux qu’il a fait valoir devant la Justice de paix de sorte que la Cour se rallie à la motivation des premiers juges (cf. décision attaquée, p. 6-7), qui est convaincante et ne prête pas le flanc à la critique. En effet, le droit de garde exclusif de l’enfant à B.________ a été prévu dans la convention du 14 mai 2013. En l’état actuel, l’organisation appliquée est conforme au bien-être de l’enfant et se déroule bien. En effet, le recourant a déclaré que l’organisation actuelle fonctionnait (cf. PV p. 2), que son fils vivait bien la situation et qu’il n’était pas en souffrance (cf. PV p. 3). La mère considère également que le système actuel se déroule bien (cf. PV p. 3). A cela s’ajoute le fait que les parents s’accordent sur le fait que leur relation est conflicutelle, que leur communication est mauvaise et qu’ils ont des difficultés à échanger sur les questions relatives à leur fils. Ils ont du reste tous deux été favorables à entreprendre une médiation familiale dans le but de reconstruire la communication</w:t>
      </w:r>
    </w:p>
    <w:p>
      <w:r>
        <w:t>Tribunal cantonal TC Page 5 de 8 parentale et de discuter d’une ligne éducative commune, laquelle a été ordonnée par la Justice de paix et qui n’est pas contestée. Cependant, compte tenu des mesures organisationnelles et de la transmission régulière d'informations que nécessite une garde alternée, l'existence d'une bonne capacité et volonté de communiquer et de coopérer est souvent essentielle. Or, un tel conflit marqué et persistant entre les parents portant sur des questions liées à l'enfant laisse présager des difficultés futures de collaboration et risque d'exposer de manière récurrente C.________ à une situation conflictuelle, ce qui est contraire à son intérêt et qui exclut, en l’état, une garde alternée. Le fait que, comme le soutient le recourant, C.________ souhaiterait également vivre la moitié du temps chez son père, ce que conteste cependant l’intimée, n’est donc pas déterminant vu le conflit important et durable existant entre les parents. De plus, l’enfant est âgé de 7 ans, de sorte que son avis n’est pas décisif sur le vu de la jurisprudence du Tribunal fédéral. Dans ces circonstances et en l’absence de faits nouveaux importants commandant pour le bien de C.________ de modifier l’attribution de sa garde, c’est à bon droit que la Justice de paix a confirmé l’attribution exclusive de sa garde à sa mère.</w:t>
      </w:r>
    </w:p>
    <w:p>
      <w:r>
        <w:rPr>
          <w:b/>
        </w:rPr>
        <w:t>E. 3.1</w:t>
      </w:r>
    </w:p>
    <w:p>
      <w:r>
        <w:t>Le recourant critique également le fait que la Justice de paix a réglé son droit de visite en fixant des jours précis, relevant que la situation est amenée à évoluer, de sorte que la Justice de paix aurait dû laisser plus de liberté aux parents pour organiser les jours de visite.</w:t>
      </w:r>
    </w:p>
    <w:p>
      <w:r>
        <w:rPr>
          <w:b/>
        </w:rPr>
        <w:t>E. 3.2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 gardien et éloignement de son lieu de vie par rapport au domicile de l'enfant, organisation du parent non gardien pour recevoir l'enfant, relation qu'il entretient avec l'enfant, etc.), le bien de l'enfant étant le facteur d'appréciation le plus important (ATF 127 III 295 consid. 4a). L'on prendra également en considération l'avis de l'enfant. Celui-ci est auditionné dans la mesure où son âge ou d'autres circonstances ne s'y opposent pas (art. 298 al. 1 CPC; CR CC I-LEUBA, art. 273 n. 14 et les références citées; MEIER/STETTLER, Droit de la filiation, 6ème éd. 2019, n. 970-972).</w:t>
      </w:r>
    </w:p>
    <w:p>
      <w:r>
        <w:rPr>
          <w:b/>
        </w:rPr>
        <w:t>E. 3.3</w:t>
      </w:r>
    </w:p>
    <w:p>
      <w:r>
        <w:t>Concernant la réglementation du droit de visite du père, la Justice de paix a relevé que les parents se sont éloignés d’eux-mêmes du droit de visite tel qu’il avait été fixé par la convention du 14 mai 2013 et qu’ils ont été en mesure de s’entendre afin de s’adapter aux besoins de leur enfant ainsi qu’à leurs propres besoins. Elle a ainsi pris acte du droit de visite tel qu’exercé actuellement afin de suivre la volonté des parents qui souhaitaient que celui-ci soit réglé.</w:t>
      </w:r>
    </w:p>
    <w:p>
      <w:r>
        <w:rPr>
          <w:b/>
        </w:rPr>
        <w:t>E. 3.4</w:t>
      </w:r>
    </w:p>
    <w:p>
      <w:r>
        <w:t>Si le recourant fait valoir en procédure de recours que la Justice de paix aurait dû laisser aux parents davantage de liberté pour organiser le droit de visite, la Cour constate que c’est bien</w:t>
      </w:r>
    </w:p>
    <w:p>
      <w:r>
        <w:t>Tribunal cantonal TC Page 6 de 8 lui qui initialement avait demandé à la Justice de paix de clarifier la situation et de définir clairement les questions de la garde et du droit de visite. Quoi qu’il en soit, on voit mal comment les parents pourraient organiser eux-mêmes régulièrement de nouveaux plannings de garde alors qu’ils peinent déjà à communiquer dans l’état actuel où la prise en charge de leur fils est réglée et claire. Pour le bien de l’enfant et afin qu’il dispose d’une stabilité, de repères et qu’il ne soit pas en placé dans un conflit de loyauté entre ses deux parents, il importe de fixer une organisation précise à laquelle les parents vont se tenir en cas de désaccord entre eux. Ils sont toutefois libres de s’en écarter et de modifier, voire d’élargir, d’entente entre eux, les modalités d’exercice du droit de visite, comme l’a d’ailleurs mentionné la Justice de paix dans sa décision, ce qui rend vain le grief du recourant. S’agissant des modalités fixées, la Justice de paix a adapté le droit de visite du père prévu dans la convention du 14 mai 2013 et l’a élargi. Il correspond au droit de visite qui est actuellement exercé par le père, d’entente entre les parents, et il se déroule bien. Partant, il n’y a pas de motif de s’en écarter, celui-ci étant adéquat et conforme à l’intérêt de C.________. Pour le surplus, les griefs soulevés par le recourant, non pertinents et sans rapport avec la présente cause, sont irrecevables. Il s’ensuit le rejet du recours.</w:t>
      </w:r>
    </w:p>
    <w:p>
      <w:r>
        <w:rPr>
          <w:b/>
        </w:rPr>
        <w:t>E. 4.1</w:t>
      </w:r>
    </w:p>
    <w:p>
      <w:r>
        <w:t>L’intimée sollicite le bénéfice de l’assistance judiciaire pour la procédure de recours exposant que sa situation financière ne lui permet pas de s’acquitter des frais de la présente procédure.</w:t>
      </w:r>
    </w:p>
    <w:p>
      <w:r>
        <w:rPr>
          <w:b/>
        </w:rPr>
        <w:t>E. 4.2</w:t>
      </w:r>
    </w:p>
    <w:p>
      <w:r>
        <w:t>En vertu de l'art. 117 CPC, une partie a droit à cette assistance si elle ne dispose pas de ressources suffisantes et si sa cause ne paraît pas dépourvue de toute chance de succès.</w:t>
      </w:r>
    </w:p>
    <w:p>
      <w:r>
        <w:rPr>
          <w:b/>
        </w:rPr>
        <w:t>E. 4.3</w:t>
      </w:r>
    </w:p>
    <w:p>
      <w:r>
        <w:t>Il ressort de la requête d’assistance judiciaire déposée par B.________ devant la Justice de paix le 15 juin 2020 et à laquelle elle se réfère dans le cadre de la présente demande qu’elle travaille en tant que maîtresse professionnelle à un taux de 16.37% ainsi qu’en qualité d’éducatrice spécialisée, sur mandat, pour le compte de l’Etat de Fribourg. Son taux d’activité est ainsi variable. Du mois d’août 2019 au 31 mai 2020, elle a réalisé un revenu total de CHF 32'395.75, part au 13ème salaire et aux vacances comprise. En tenant compte de quatre semaines de vacances, cela représente un revenu mensuel moyen net de CHF 2'969.35 (32'392.75 / 10 x 11 / 12). Elle perçoit en outre une pension alimentaire de CHF 900.- pour l’entretien de son fils et des allocations familiales à concurrence de CHF 290.- par mois. Au total, ses revenus mensuels se montent à CHF 4'159.35. Ses charges se composent de son minimum vital LP élargi par CHF 1'687.50 (CHF 1'350.- + 25 %) et de celui de son fils par CHF 500.- (CHF 400.- + 25 %). S’agissant de son logement, la requérante est copropriétaire de l’appartement dans lequel elle vit avec son fils et ses frais de logement sont constitués des intérêts hypothécaires par CHF 1'171.30, de l’appel de charges de la PPE par CHF 500.- et de la contribution immobilière par CHF 30.50, soit un total de CHF 1'701.80. La requérante supporte également sa prime d’assurance-maladie de base par CHF 374.65, celle de son fils par CHF 115.-, son assurance-vie (amortissement direct obligatoire lié à l’appartement) par CHF 257.50, son assurance véhicule par CHF 124.50, l’impôt sur le véhicule par CHF 38.50, son assurance RC ménage par CHF 37.30 et les frais de garde de son fils par CHF 127.-. On ne saurait en revanche tenir compte de l’assurance protection juridique, ni de l’assurance-maladie LCA. Au total, les charges de la requérante se montent à CHF 4'963.75. La requérante supporte donc un déficit mensuel de CHF 804.40.</w:t>
      </w:r>
    </w:p>
    <w:p>
      <w:r>
        <w:t>Tribunal cantonal TC Page 7 de 8 Il y a ainsi lieu de conclure que la requérante ne dispose pas des ressources suffisantes pour s’acquitter des frais de la présente procédure et honorer un mandataire, même par acomptes, sans s’exposer à la privation des choses nécessaires à son existence. Dans ces conditions, l'indigence de la requérante est établie. En outre, on ne pouvait conclure, après un examen sommaire du dossier, que la cause était dénuée de toute chance de succès au sens de la jurisprudence (ATF 139 III 396 consid. 1.2), d’autant que la requérante est intimée à la présente procédure et a conclu à la confirmation de la décision attaquée. Enfin, l'assistance d'un avocat était nécessaire. En conséquence, la requête de B.________ est admise. Il est rappelé à B.________ que l'assistance judiciaire est remboursable dès que la partie qui en bénéficie est en mesure de le faire (art. 123 al. 1 CPC).</w:t>
      </w:r>
    </w:p>
    <w:p>
      <w:r>
        <w:rPr>
          <w:b/>
        </w:rPr>
        <w:t>E. 5.1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5.2</w:t>
      </w:r>
    </w:p>
    <w:p>
      <w:r>
        <w:t>Compte tenu de l’issue du recours, les frais y relatifs sont mis à la charge de A.________.</w:t>
      </w:r>
    </w:p>
    <w:p>
      <w:r>
        <w:rPr>
          <w:b/>
        </w:rPr>
        <w:t>E. 5.2.1</w:t>
      </w:r>
    </w:p>
    <w:p>
      <w:r>
        <w:t>Les frais judiciaires sont fixés forfaitairement à CHF 500.- pour la procédure de recours (art. 19 al. 1 RJ).</w:t>
      </w:r>
    </w:p>
    <w:p>
      <w:r>
        <w:rPr>
          <w:b/>
        </w:rPr>
        <w:t>E. 5.2.2</w:t>
      </w:r>
    </w:p>
    <w:p>
      <w:r>
        <w:t>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 Cour estime qu’une indemnité de CHF 1'077.-, TVA (7.7%) par CHF 77.- comprise, est appropriée.</w:t>
      </w:r>
    </w:p>
    <w:p>
      <w:r>
        <w:rPr>
          <w:b/>
        </w:rPr>
        <w:t>E. 5.2.3</w:t>
      </w:r>
    </w:p>
    <w:p>
      <w:r>
        <w:t>L’indemnité équitable du défenseur d’office sera fixée ultérieurement au cas où les démarches de l’intimée en vue du recouvrement des dépens qui lui ont été alloués dans le cadre de la présente procédure devaient s’avérer infructueuses. (dispositif en page suivante)</w:t>
      </w:r>
    </w:p>
    <w:p>
      <w:r>
        <w:t>Tribunal cantonal TC Page 8 de 8 la Cour arrête : I. Le recours est rejeté. Partant, la décision de la Justice de paix de l’arrondissement de la Sarine du 24 juin 2020 est confirmée. II. La requête d’assistance judiciaire de B.________ est admise. Partant, pour la procédure devant l’autorité de recours, l'assistance judiciaire est accordée à B.________, qui est en conséquence exonérée des frais judiciaires et à qui est désigné un défenseur d'office rémunéré par l'Etat en la personne de Me Jillian Fauguel, avocate. III. Les frais de la procédure sont mis à la charge de A.________. Les frais judiciaires de la procédure sont fixés à CHF 500.-. Les dépens de B.________, fixés à CHF 1'077.-, TVA (7.7%) par CHF 77.- comprise,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