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2 vom 2. April 2020</w:t>
      </w:r>
    </w:p>
    <w:p>
      <w:r>
        <w:t>FR Kantonsgericht, 2020-04-02, FR</w:t>
      </w:r>
    </w:p>
    <w:p>
      <w:r>
        <w:rPr>
          <w:b/>
        </w:rPr>
        <w:t xml:space="preserve">Quelle: </w:t>
      </w:r>
      <w:r>
        <w:t>https://mcp.opencaselaw.ch/entscheid/fr_gerichte_106_2020_2</w:t>
      </w:r>
    </w:p>
    <w:p>
      <w:r>
        <w:t>FR: FR_GERICHTE 106 2020 2 du 2 avril 2020</w:t>
      </w:r>
    </w:p>
    <w:p>
      <w:r>
        <w:t>IT: FR_GERICHTE 106 2020 2 del 2 aprile 2020</w:t>
      </w:r>
    </w:p>
    <w:p>
      <w:pPr>
        <w:pStyle w:val="Heading2"/>
      </w:pPr>
      <w:r>
        <w:t>Regeste</w:t>
      </w:r>
    </w:p>
    <w:p>
      <w:r>
        <w:t>Arrêt de la Cour de protection de l'enfant et de l'adulte du Tribunal cantonal | Erwachsenenschutz</w:t>
      </w:r>
    </w:p>
    <w:p>
      <w:pPr>
        <w:pStyle w:val="Heading2"/>
      </w:pPr>
      <w:r>
        <w:t>Erwägungen</w:t>
      </w:r>
    </w:p>
    <w:p>
      <w:r>
        <w:rPr>
          <w:b/>
        </w:rPr>
        <w:t>E. 7</w:t>
      </w:r>
    </w:p>
    <w:p>
      <w:r>
        <w:t>novembre 2019. En substance, elle informe s'occuper des affaires relatives à la succession de feu son père et conteste la nomination d'un curateur professionnel, eu égard aux frais supplémentaires en découlant. Elle précise que sa sœur D.________ gère très bien les affaires de sa mère et qu'elle ne s'est elle-même proposée que parce que celle-là souhaitait reprendre la maison familiale, si un conflit d'intérêts devait se présenter. A cet égard, elle ajoute être ouverte à la nomination d'une tierce personne "juste à ce moment-là", si nécessaire au moment du partage. D. Le 20 janvier 2020, la Justice de paix a informé la Cour confirmer en tous points sa décision et renoncer à se déterminer formellement dans cette affaire. E. En date du 16 mars 2020, A.________ a informé la Cour du fait que la reprise de la maison familiale par leur frère, F.________, était sur le point d'être effectuée et que l'hoirie souhaitait procéder au partage au plus vite, ce dernier, occupant actuellement la ferme, désirant également</w:t>
      </w:r>
    </w:p>
    <w:p>
      <w:r>
        <w:t>Tribunal cantonal TC Page 3 de 6 aller de l'avant. Elle a ajouté que sa sœur, D.________, s'occupait des affaires de leur mère et que tout se passait bien, précisant que celle-là était tout à fait capable de gérer cette situation. en droit 1. 1.1.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ce qui est le cas en l’espèce. 1.4. A.________, fille de l'intéressée, a qualité pour recourir (art. 450 al. 2 ch. 1 et 2 CC). 1.5.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Le recours satisfait ainsi aux exigences de motivation.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1.8. Le recours a effet suspensif (art. 450c CC). 2. La Justice de paix est d'avis que B.________ présente un état de faiblesse l'empêchant d'assurer elle-même la sauvegarde de ses intérêts. Elle ne dispose pas de la pleine capacité de discernement et n'est ainsi pas en mesure de gérer ses affaires seule. Elle a considéré que bien que D.________ se soit principalement occupée de gérer les affaires de sa mère jusqu'alors, elle envisageait de reprendre la ferme familiale de E.________, ce qui était susceptible de constituer un conflit d'intérêts. Si elle a retenu qu'il ne faisait aucun doute que tant D.________ que A.________ disposaient de toutes les compétences et connaissances pour poursuivre la gestion des affaires de leur mère, la Justice de paix a essentiellement mis en avant le conflit d'intérêts résultant de la liquidation de la succession de feu C.________ pour justifier sa décision de confier le mandat à un curateur professionnel.</w:t>
      </w:r>
    </w:p>
    <w:p>
      <w:r>
        <w:t>Tribunal cantonal TC Page 4 de 6 2.1. La recourante conteste la désignation d'une tierce personne en qualité de curateur de sa mère. Dans son recours, elle précise que sa sœur D.________ gère très bien les affaires de sa mère et qu'elle ne s'est elle-même proposée que parce que celle-là souhaitait reprendre la maison familiale, si un conflit d'intérêts devait se présenter. Elle ajoute avoir expressément mentionné ne pas être en mesure de supporter des frais supplémentaires occasionnés par la nomination d'un curateur professionnel. Dans sa détermination du 16 mars 2020, elle fait valoir que c'est leur frère qui reprendra la maison familiale et qu'elle souhaite dès lors que D.________, qui s'occupe des affaires de leur mère, puisse continuer ainsi. 2.2.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 même et qu'elle n'a pas désigné de représentant pour des affaires qui doivent être réglées (ch. 2). Une cause de curatelle (état objectif de faiblesse), ainsi qu'une condition de curatelle (besoin de protection) doivent ainsi être réunies pour justifier le prononcé d'une curatelle (STEINAUER/FOUNTOULAKIS, Droit des personnes physiques et de la protection de l'adulte, 2014, p. 40 n. 126).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"légère" que possible, mais aussi forte que nécessaire (MEIER, Droit de la protection de l'adulte, articles 360- 456 CC, 2016, n. 681 p. 348).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"assistance étatique autant que besoin est et intervention étatique aussi rare que possible". La mesure doit donc se trouver en adéquation avec le but fixé, représenter l'atteinte la plus faible possible pour être compatible avec celui-ci et rester dans un rapport raisonnable entre lui et l'atteinte engendrée. Ces principes de subsidiarité et de proportionnalité valent également pour l'institution d'une curatelle de représentation selon l'art. 394 al. 1 CC (ATF 140 III 49/JdT 2014 II p. 331 ss. et les références citées; arrêt TF 5A_356/2015 du 26 juin 2015 consid. 3.1 et les références citées). Ils trouvent aussi une expression temporelle en ce sens que la mesure doit être levée ou modifiée lorsque le besoin de protection a diminué, soit que la personne puisse compter sur ses propres ressources, soit que son entourage puisse la prendre en charge (art. 399 al. 2 CC). Elle devra à l'inverse être renforcée si le besoin de protection s'est accru (MEIER, n. 685 p. 349). 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 dans tous les cas, que la personne concernée est représentée par le curateur désigné par l'autorité de</w:t>
      </w:r>
    </w:p>
    <w:p>
      <w:r>
        <w:t>Tribunal cantonal TC Page 5 de 6 protection. Elle est désormais engagée par les actes du curateur (art. 394 al. 3 CC) et ne peut, de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En outre, sans limiter l'exercice des droits civils de la personne concernée, l'autorité de protection de l'adulte peut néanmoins la priver de la faculté d'accéder à certains éléments de son patrimoine (art. 395 al. 3 CC). Le critère essentiel à l'instauration de cette mesure de protection est l'incapacité de la personne concernée à gérer son patrimoine (MEIER, n. 835 ss p. 411). 2.3. En l'occurrence, il ressort du dossier que l'intéressée présente un état de faiblesse l'empêchant d'assurer elle-même la sauvegarde de ses intérêts. Elle ne dispose pas de la pleine capacité de discernement et n'est ainsi pas en mesure de gérer ses affaires seule. Dans ces conditions, à l'instar de la Justice de paix, la Cour considère qu'un besoin de protection est avéré. Reste à déterminer sous quelle forme. L'on ne peut nier que le risque de conflit d'intérêts lié à la liquidation de la succession de feu C.________ est avéré et que B.________ doit être représentée dans ce cadre-là. Les nouveaux éléments invoqués par la recourante dans son courrier du 16 mars 2020 ne modifient en rien la réalité d'un tel conflit d'intérêts. Peu importe que dans un cas d'espèce le curateur s'efforce de protéger objectivement les intérêts de la personne concernée, qu'il en soit capable et qu'il mérite qu'on lui fasse confiance. A côté du conflit d'intérêts direct (contrat avec soi-même, double représentation), il peut y avoir un conflit d'intérêts indirect, lorsqu'il existe une relation étroite entre le curateur et le cocontractant. Une mise en danger abstraite suffit (CommFam Protection de l'adulte/HÄFELI, 2013, art. 403 CC n. 3; STEINAUER/FOUNTOULAKIS, n. 1239 ss). Plus généralement, il existe encore une sorte de clause générale, soit la nécessité de désigner un curateur substitut lorsque le curateur désigné est empêché d'agir ou ne peut régler l'affaire en cause (STEINAUER/FOUNTOULAKIS, n. 1244). Cela étant, entendue en séance du 10 septembre 2019 par la Juge de paix sur délégation, B.________ a déclaré que ses filles s'occupaient de ses affaires: "Je leur ai donné l'autorisation." Elle a ajouté: "Je suis d'accord que ma fille [A.________] s'occupe de mes affaires. C'est normal." Tant la recourante que D.________ sont conscientes du conflit d'intérêts relatif à la liquidation de la succession de feu leur père. Hormis pour cette question toutefois, il n'apparaît pas, à lire le dossier, en particulier la décision attaquée, que les intérêts de l'intéressée ne soient pas suffisamment préservés grâce à l'aide de ses filles; rien n'indique non plus que ses affaires administratives et financières seraient mises en péril si leur gestion était assumée par D.________, comme jusqu'à présent, respectivement par la recourante, en lieu et place d'un curateur professionnel. La Justice de paix a par ailleurs relevé, dans sa décision, que tant A.________ que D.________ disposaient de toutes les compétences et connaissances nécessaires pour s'occuper des affaires de leur mère. La possibilité que l'une ou l'autre de ses filles puisse lui apporter le soutien dont elle a effectivement besoin n'est dès lors pas exclue, du moins ne saurait être écartée sans instruction supplémentaire. La Justice de paix n'a en effet pas examiné si une mesure moins incisive que l'instauration d'une curatelle de représentation avec gestion du patrimoine entrait en ligne de compte, voire si la mesure prononcée pouvait être limitée à certains aspects, étant au demeurant relevé que la problématique des frais engendrés par la nomination d'un curateur professionnel, soulevée par la recourante, n'est pas négligeable, au vu de la situation financière de l'intéressée, débitrice d'un solde de près de CHF 15'000.- à l'égard du home où elle réside. Ce faisant, elle n'a pas respecté les principes de proportionnalité et de subsidiarité de l'art. 389 CC.</w:t>
      </w:r>
    </w:p>
    <w:p>
      <w:r>
        <w:t>Tribunal cantonal TC Page 6 de 6 2.4. Il s'ensuit l'admission du recours. Par conséquent, la décision attaquée doit être annulée et la cause renvoyée à l'autorité intimée pour nouvelle décision. 3. Vu l'issue du recours, les frais judiciaires de la procédure de recours, fixés forfaitairement à CHF 400.-, sont laissés à la charge de l'Etat (art. 106 al. 1 CPC; art. 6 al. 1 LPEA; art. 19 al. 1 RJ). Il n'y a pas matière à dépens. la Cour arrête : I. Le recours est admis. Partant, la décision prononcée le 7 novembre 2019 est annulée et la cause est renvoyée à la Justice de paix de la Veveyse pour nouvelle décision dans le sens des considérants. II. Les frais judiciaires de la procédure de recours, fixés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avril 2020/sze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