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31 vom 6. September 2019</w:t>
      </w:r>
    </w:p>
    <w:p>
      <w:r>
        <w:t>FR Kantonsgericht, 2019-09-06, FR</w:t>
      </w:r>
    </w:p>
    <w:p>
      <w:r>
        <w:rPr>
          <w:b/>
        </w:rPr>
        <w:t xml:space="preserve">Quelle: </w:t>
      </w:r>
      <w:r>
        <w:t>https://mcp.opencaselaw.ch/entscheid/fr_gerichte_106_2019_31</w:t>
      </w:r>
    </w:p>
    <w:p>
      <w:r>
        <w:t>FR: FR_GERICHTE 106 2019 31 du 6 septembre 2019</w:t>
      </w:r>
    </w:p>
    <w:p>
      <w:r>
        <w:t>IT: FR_GERICHTE 106 2019 31 del 6 settembre 2019</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t>Tribunal cantonal TC Page 3 de 4</w:t>
      </w:r>
    </w:p>
    <w:p>
      <w:r>
        <w:rPr>
          <w:b/>
        </w:rPr>
        <w:t>E. 1.2</w:t>
      </w:r>
    </w:p>
    <w:p>
      <w:r>
        <w:t>Les dispositions de la procédure devant l’autorité de protection de l’adulte sont applicables par analogie (art. 314 al. 1 CC). La procédure devant l’instance de recours est ainsi régie par les art. 450 à 450e CC (MEIER/STETTLER, Droit de la filiation, 5ème éd., 2014, n. 589 p. 399).</w:t>
      </w:r>
    </w:p>
    <w:p>
      <w:r>
        <w:rPr>
          <w:b/>
        </w:rPr>
        <w:t>E. 1.3</w:t>
      </w:r>
    </w:p>
    <w:p>
      <w:r>
        <w:t>Le recours doit être déposé dans un délai de trente jours à compter de la notification de la décision (art. 450b al. 1 CC). En l’espèce, la décision querellée a été notifiée le 7 mai 2019, de sorte que le recours, interjeté le 30 mai 2019, l’a été en temps utile.</w:t>
      </w:r>
    </w:p>
    <w:p>
      <w:r>
        <w:rPr>
          <w:b/>
        </w:rPr>
        <w:t>E. 1.4</w:t>
      </w:r>
    </w:p>
    <w:p>
      <w:r>
        <w:t>Selon l'article 450 CC, ont qualité pour recourir les personnes parties à la procédure, les proches de la personne concernée et les personnes qui ont un intérêt juridique à l'annulation ou à la modification de la décision attaquée. Un intérêt actuel de fait ne suffit pas à légitimer un tiers à agir. L'intérêt doit être juridique et être protégé par le droit de la protection de l'enfant. Selon une jurisprudence relative à l'instauration de la curatelle de paternité de l'ancien art. 309 al. 1 CC (dans sa version en vigueur jusqu'au 30 juin 2014), le père présumé qui s'oppose à l'institution d'une curatelle de représentation en vue d'établir la filiation paternelle n'a pas qualité pour recourir faute d'intérêt juridiquement protégé. L'institution d'une curatelle de paternité n'a pour seul objectif que de permettre à l'enfant né hors mariage d'établir le lien de filiation avec le père naturel. Les tiers ne disposent d'aucun droit subjectif dans le cadre des procédures relatives à l'institution d'une curatelle; l'autorité de protection de l'enfant n'a pas à prendre en compte leurs intérêts. Le père putatif ne peut faire valoir ses droits et ses intérêts que dans le cadre d'une éventuelle action en paternité future (ATF 121 III 1 /JdT 1996 I 662 consid. 2b et les références citées ; BK-ZGB, AFFOLTER/VOGEL, 2016, art. 314 n. 157). L'actuel art. 308 al. 2 CC a remplacé l'art. 309 al. 1 aCC et permet également d'instituer une curatelle dans le but d'établir le lien de filiation paternelle. L'instauration de la curatelle selon l'art. 308 al. 2 CC ayant le même but que la curatelle de paternité de l'art. 309 al. 1 aCC, il convient de reprendre la jurisprudence y relative. Ainsi, force est de constater que le recourant, père présumé de B.________, n'a pas qualité pour recourir faute d'intérêt juridiquement protégé. Le recours est par conséquent irrecevable.</w:t>
      </w:r>
    </w:p>
    <w:p>
      <w:r>
        <w:rPr>
          <w:b/>
        </w:rPr>
        <w:t>E. 2</w:t>
      </w:r>
    </w:p>
    <w:p>
      <w:r>
        <w:t>A supposer par ailleurs que B.________ n’ait pas sa résidence habituelle en Suisse mais bien en France, respectivement que ses parents n’aient pas de domicile en Suisse au sens des art. 66 et 79 LDIP, cela n’entrainerait pas la nullité de la décision du 2 avril 2019, mais éventuellement son absence de portée en France ; cela étant, il incombera au juge saisi de l’action en paternité et aliment d’examiner sa compétence en fonction des circonstances prévalant à ce moment-là.</w:t>
      </w:r>
    </w:p>
    <w:p>
      <w:r>
        <w:rPr>
          <w:b/>
        </w:rPr>
        <w:t>E. 3</w:t>
      </w:r>
    </w:p>
    <w:p>
      <w:r>
        <w:t>Au vu de l’issue du recours, les frais judiciaires, fixés forfaitairement à CHF 200.-, seront mis à la charge de A.________ (art. 106 al. 1 CPC et 19 al. 1 RJ).</w:t>
      </w:r>
    </w:p>
    <w:p>
      <w:r>
        <w:t>Tribunal cantonal TC Page 4 de 4 la Cour arrête : I. Le recours est irrecevable. II. Les frais judiciaires, fixés forfaitairement à CHF 200.-,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6 septembre 2019/mde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