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80 vom 14. November 2018</w:t>
      </w:r>
    </w:p>
    <w:p>
      <w:r>
        <w:t>FR Kantonsgericht, 2018-11-14, FR</w:t>
      </w:r>
    </w:p>
    <w:p>
      <w:r>
        <w:rPr>
          <w:b/>
        </w:rPr>
        <w:t xml:space="preserve">Quelle: </w:t>
      </w:r>
      <w:r>
        <w:t>https://mcp.opencaselaw.ch/entscheid/fr_gerichte_106_2018_80</w:t>
      </w:r>
    </w:p>
    <w:p>
      <w:r>
        <w:t>FR: FR_GERICHTE 106 2018 80 du 14 novembre 2018</w:t>
      </w:r>
    </w:p>
    <w:p>
      <w:r>
        <w:t>IT: FR_GERICHTE 106 2018 80 del 14 novembre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Selon l'art. 8 de la loi du 15 juin 2010 concernant la protection de l'enfant et de l'adulte (LPEA), le Tribunal cantonal connaît des recours contre les décisions rendues par l'autorité de protection, soit la Justice de paix (art. 2 al. 1 LPEA). La Cour de protection de l'enfant et de l'adulte (art. 14 al. 1 let. c du Règlement du Tribunal cantonal du 22 novembre 2012 précisant son organisation et son fonctionnement [RTC]) est compétente pour statuer.</w:t>
      </w:r>
    </w:p>
    <w:p>
      <w:r>
        <w:rPr>
          <w:b/>
        </w:rPr>
        <w:t>E. 1.2</w:t>
      </w:r>
    </w:p>
    <w:p>
      <w:r>
        <w:t>Les dispositions de la procédure devant l’autorité de protection de l’adulte sont applicables par analogie (art. 314 al. 1 CC) de sorte que la procédure de recours est ainsi régie par les art. 450 à 450e CC (MEIER/STETTLER, Droit de la filiation, 5e éd., 2014, n. 589 p. 399).</w:t>
      </w:r>
    </w:p>
    <w:p>
      <w:r>
        <w:rPr>
          <w:b/>
        </w:rPr>
        <w:t>E. 1.3</w:t>
      </w:r>
    </w:p>
    <w:p>
      <w:r>
        <w:t>Le recours doit être déposé dans un délai de trente jours à compter de la notification de la décision (art. 450b al. 1 CC). En l’espèce, la décision querellée a été notifiée au recourant le 19 juillet 2018, de sorte que son recours, interjeté le 20 août 2018, l’a été en temps utile. La réponse du 8 octobre 2018 est en revanche tardive et, dès lors, irrecevable (art. 450f CC et art. 312 al. 2 CPC). Cela n’a pas une importance décisive en l’occurrence, la Cour appliquant le droit d’office et disposant d'un plein pouvoir d'examen, en fait comme en droit (art. 446 CC; BOHNET, Autorités et procédure en matière de protection de l'adulte, in Le nouveau droit de la protection de l'adulte, 2012, p. 91 n. 175 s.).</w:t>
      </w:r>
    </w:p>
    <w:p>
      <w:r>
        <w:rPr>
          <w:b/>
        </w:rPr>
        <w:t>E. 1.4</w:t>
      </w:r>
    </w:p>
    <w:p>
      <w:r>
        <w:t>Le recours satisfait aux exigences de motivation (art. 450 al. 3 CC).</w:t>
      </w:r>
    </w:p>
    <w:p>
      <w:r>
        <w:rPr>
          <w:b/>
        </w:rPr>
        <w:t>E. 1.5</w:t>
      </w:r>
    </w:p>
    <w:p>
      <w:r>
        <w:t>A.________, père des enfants, a manifestement qualité pour agir dès lors que la décision concerne ses relations personnelles avec ses filles (art. 450 al. 2 ch. 1 CC).</w:t>
      </w:r>
    </w:p>
    <w:p>
      <w:r>
        <w:rPr>
          <w:b/>
        </w:rPr>
        <w:t>E. 1.6</w:t>
      </w:r>
    </w:p>
    <w:p>
      <w:r>
        <w:t>Autre est la question de savoir si le recourant a un intérêt à recourir. Une personne n'est en effet admise à agir ou à recourir que si elle a un intérêt juridiquement protégé à le faire. Le recourant doit être lésé par la décision attaquée, plus particulièrement par son dispositif. Ainsi et par exemple, celui qui invoque une violation du droit d'être entendu doit se plaindre d'une atteinte matérielle, faute de quoi son recours est privé d'intérêt digne de protection et donc irrecevable (arrêt TF 5A_534/2016 du 15 février 2017 in RSPC 2017 p. 316). En l’espèce, l’intimée considère qu’un tel intérêt doit être nié au recourant, dans la mesure où ce dernier admet que son droit de visite doit être en l’état exercé selon les modalités à établir par la curatrice, ce que prévoit précisément la décision attaquée. Le recourant objecte qu’il a conclu à la fixation d’un droit de visite usuel, à rétablir progressivement par la curatrice, en lieu et place d’une simple autorisation à envoyer du courrier, élargie par la curatrice elle-même.</w:t>
      </w:r>
    </w:p>
    <w:p>
      <w:r>
        <w:t>Tribunal cantonal TC Page 5 de 9 La similitude entre les souhaits de A.________ et ce qu’a décidé la Justice de paix n’est qu’apparente. En effet, il faut constater qu’actuellement, le père ne peut invoquer qu’un droit de visite très limité (écrire à ses enfants) et que s’il est conscient qu’en l’état, il ne peut pas accueillir C.________ et D.________ un week-end sur deux, il entend qu’il soit précisément indiqué qu’il a en soi le droit de bénéficier d’un tel droit de visite, que c’est le but à atteindre, et que les modalités de ses relations personnelles ne peuvent pas être purement et simplement déléguées au bon vouloir de la curatrice. Il y a dès lors lieu de retenir que le recourant peut soutenir qu’il est lésé par la décision du 11 juin 2018, dont il demande la modification. Il a dès lors un intérêt au recours.</w:t>
      </w:r>
    </w:p>
    <w:p>
      <w:r>
        <w:rPr>
          <w:b/>
        </w:rPr>
        <w:t>E. 1.7</w:t>
      </w:r>
    </w:p>
    <w:p>
      <w:r>
        <w:t>A défaut de disposition contraire du droit cantonal, la Cour peut statuer sans débats (art. 450f CC et 316 al. 1 du code de procédure civile [CPC]).</w:t>
      </w:r>
    </w:p>
    <w:p>
      <w:r>
        <w:rPr>
          <w:b/>
        </w:rPr>
        <w:t>E. 2.1</w:t>
      </w:r>
    </w:p>
    <w:p>
      <w:r>
        <w:t>La Justice de paix a retenu qu’il n’était pas opportun de rétablir le droit de visite pratiqué avant le printemps 2017 au vu des incertitudes liées à la procédure pénale toujours en cours, d’autant plus que cela constituerait une réponse trop radicale pour C.________ et D.________ qui n’ont actuellement plus aucun contact avec leur père. Elle a estimé qu’il n’était cependant pas dans leur intérêt de prolonger la rupture totale de contact avec leur père, ce qui pouvait porter atteinte à la construction de l’identité personnelle des intéressées. Dès lors, elle a autorisé le recourant à envoyer des lettres à ses filles afin qu’il puisse leur donner de ses nouvelles, à la condition qu’un intermédiaire ait un regard sur leur contenu avant qu’elles ne soient transmises aux enfants. Elle a en revanche refusé d’autoriser la mise en place d’un droit de visite, quand bien même ce dernier ne devait pas dépasser une heure, ou un contact téléphonique entre le recourant et ses filles, en considérant qu’un contact direct entre les intéressés n’était pas adéquat au vu de la procédure pénale toujours en cours. Au surplus, elle a relevé que dite procédure pénale ne lui permettait guère de se prononcer sur une extension future des relations personnelles père-filles et l’importance que ces dernières pourraient prendre sur la durée. Par ailleurs, la Justice de paix a considéré que l’absence totale de communication des parents et les tensions réciproques ne permettaient pas de garantir une mise en œuvre optimale des relations personnelles père-filles décidées, lesquelles, malgré leur caractère très limité, nécessitent néanmoins la présence d’une tierce personne pour s’assurer de l’adéquation des lettres adressées par le recourant à ses filles et pour faire un compte-rendu de l’évolution de la situation en vue d’une adaptation éventuelle des mesures prises.</w:t>
      </w:r>
    </w:p>
    <w:p>
      <w:r>
        <w:rPr>
          <w:b/>
        </w:rPr>
        <w:t>E. 2.2</w:t>
      </w:r>
    </w:p>
    <w:p>
      <w:r>
        <w:t>Le recourant, qui ne conteste ni l’instauration de la curatelle au sens de l’art. 308 al. 2 CC ni la nomination de la curatrice, se plaint tout d’abord d’une violation de son droit d’être entendu, en tant que la Justice de paix est partie du principe que la rupture des relations personnelles était légitime, alors qu’aucune décision antérieure n’a jamais constaté ni même analysé ce fait. Il reproche à la Justice de paix une constatation manifestement incomplète et inexacte des faits, dans la mesure où elle n’a pas tenu compte du fait qu’il avait déjà fait l’objet de plaintes pénales de la part de B.________ qui avaient abouti à un classement le 18 janvier 2013, ainsi que du fait qu’à cette époque, une curatelle de surveillance des relations personnelles avait été mise en place sans qu’aucune mesure de limitation des relations personnelles n’ait été nécessaire puis finalement levée face au rétablissement du droit de visite. De même, la Justice de paix n’a pas retenu que depuis la levée de la précédente curatelle, il avait toujours entretenu des relations personnelles étroites avec ses deux filles, qui n’ont pas une attitude de rejet à son encontre, ce qu’attestent leurs dessins.</w:t>
      </w:r>
    </w:p>
    <w:p>
      <w:r>
        <w:t>Tribunal cantonal TC Page 6 de 9 Enfin, il invoque une violation de son droit aux relations personnelles et au respect de la vie privée et familiale. A cet égard, il affirme que rien ne justifie une limitation des relations personnelles aussi sévère, dans la mesure où les faits qui lui sont reprochés sur le plan pénal – pour lesquels il est encore présumé innocent – ne sont pas suffisamment graves. Il considère que les relations personnelles doivent être fixées dans le sens d’une reprise progressive des contacts pour viser à terme la réinstauration du droit de visite tel que pratiqué auparavant. Enfin, au vu du risque d’aliénation parentale, le bien de ses filles commande de ne pas limiter des relations déjà rompues à de simples contacts épistolaires unidirectionnels.</w:t>
      </w:r>
    </w:p>
    <w:p>
      <w:r>
        <w:rPr>
          <w:b/>
        </w:rPr>
        <w:t>E. 2.3.1</w:t>
      </w:r>
    </w:p>
    <w:p>
      <w:r>
        <w:t>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ATF 123 III 445 consid. 3c, JT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I-LEUBA, art. 273 n. 14 et les références citées; MEIER/STETTLER, n. 765-766 p. 500).</w:t>
      </w:r>
    </w:p>
    <w:p>
      <w:r>
        <w:rPr>
          <w:b/>
        </w:rPr>
        <w:t>E. 2.3.2</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779 p. 512;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w:t>
      </w:r>
    </w:p>
    <w:p>
      <w:r>
        <w:t>Tribunal cantonal TC Page 7 de 9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ATF 120 II 229 c. 3b/aa et les références citées). Si, par contre, le préjudice engendré pour l'enfant par les relations personnelles peut être limité grâce à la présence d'un tiers (droit de visite surveillé), le droit de la personnalité du parent non détenteur de l'autorité parentale, le principe de la proportionnalité, mais également le sens et le but des relations personnelles, interdisent la suppression complète de ce droit (arrêt TF 5A_101/2011 du 7 juin 2011 consid. 3.1.3 et références citées).</w:t>
      </w:r>
    </w:p>
    <w:p>
      <w:r>
        <w:rPr>
          <w:b/>
        </w:rPr>
        <w:t>E. 2.3.3</w:t>
      </w:r>
    </w:p>
    <w:p>
      <w:r>
        <w:t>La curatelle de surveillance prévue à l'art. 308 al. 2 CC fait partie des modalités auxquelles peut être soumis le droit de visite. Le rôle du curateur est, dans ce cas, proche de celui d'un intermédiaire et d'un négociateur. Ce dernier n'a cependant pas le pouvoir de décider lui-même de la réglementation du droit de visite, mais le juge peut lui confier le soin d'organiser les modalités pratiques de ce droit dans le cadre qu'il aura préalablement déterminé (arrêt TF 5A_101/2011 du</w:t>
      </w:r>
    </w:p>
    <w:p>
      <w:r>
        <w:rPr>
          <w:b/>
        </w:rPr>
        <w:t>E. 2.4</w:t>
      </w:r>
    </w:p>
    <w:p>
      <w:r>
        <w:t>En l’espèce, la décision attaquée fixe de manière précise le cadre du droit aux relations personnelles accordé au recourant au départ, à savoir l’autorisation d’envoyer des lettres à ses filles moyennant contrôle par la curatrice. Il s’agit d’un droit de visite a minima. Ainsi, la Justice de paix se prononce expressément en défaveur d’un contact direct entre les intéressés, qu’elle qualifie d’ « inadéquat » compte tenu de la procédure pénale en cours, tout en relevant qu’une rupture totale de contact ne serait pas dans l’intérêt des enfants, de sorte que seuls des contacts par lettres sont autorisés. Cependant, alors que le chiffre I du dispositif correspond à cette position, en limitant les relations personnelles à l’envoi de lettres soumise à contrôle, sans qu’aucun élargissement ne soit envisagé, le chiffre III, au contraire, octroie à la curatrice, et à la curatrice seule, la compétence d’examiner l’opportunité d’un tel élargissement. Aucun élargissement effectif du droit de visite n’est imposé par la décision, qui délègue à la curatrice la charge d’en examiner seule l’opportunité. A l’inverse, aucune limite n’est posée quant à l’étendue maximale que pourraient prendre les</w:t>
      </w:r>
    </w:p>
    <w:p>
      <w:r>
        <w:t>Tribunal cantonal TC Page 8 de 9 relations personnelles au final. La curatrice dispose ainsi d’une totale liberté à cet égard, y compris pour se positionner face à l’issue de la procédure pénale en cours. Or, si l’on peut admettre que les modalités pratiques de l’élargissement des relations personnelles soient déléguées à la curatrice, il est en revanche impératif que leur cadre général soit déterminé par l’autorité de protection. Cela s’impose d’autant plus qu’il ne s’agit pas in casu d’une procédure de mesures provisionnelles, dans le cadre de laquelle l’autorité de protection serait appelée à réévaluer la situation à court ou moyen terme. En conséquence, le cadre fixé par la décision attaquée ne peut être considéré comme suffisant au sens de la jurisprudence citée ci-dessus. En omettant de fixer un cadre suffisant, l’autorité intimée a donc violé le droit du recourant à exiger que ses relations personnelles avec ses enfants soit réglées au sens de l’art. 273 al. 3 CC. Il s’ensuit l’admission du recours.</w:t>
      </w:r>
    </w:p>
    <w:p>
      <w:r>
        <w:rPr>
          <w:b/>
        </w:rPr>
        <w:t>E. 2.5</w:t>
      </w:r>
    </w:p>
    <w:p>
      <w:r>
        <w:t>La Cour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Tel est le cas notamment lorsqu’il est nécessaire de compléter la procédure probatoire. En l’espèce, les modalités précises et actuelles des relations personnelles entre A.________ et ses enfants ne peuvent être fixées sans renseignements supplémentaires, de sorte que la Cour décide de renvoyer la cause à la Justice de paix pour nouvelle décision. A ce propos, elle relève toutefois ce qui suit: d’une part, la situation semblant très évolutive, le choix de statuer « au fond », et non par des mesures provisionnelles aisément modifiables et adaptables, ne semble pas des plus heureux. D’autre part, le seul droit accordé au père en l’état est de pouvoir écrire à ses enfants, et encore sous surveillance. Il ne lui a pas été accordé de pouvoir leur parler, ni de les voir cas échéant en présence d’un tiers. Or, une telle rigueur ne semble pas trouver d’appuis suffisants au dossier et ne pourra être perpétuée par la Justice de paix qu’en cas d’éléments graves pour le bien-être des enfants. 3. 3.1.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Tel est assurément le cas d’un litige entre parents s’agissant du droit de visite (TC FR 106 2014 143 du 7 novembre 2014 consid. 4).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CPC-TAPPY, 2011, art. 107 n. 18 ss, 21).</w:t>
      </w:r>
    </w:p>
    <w:p>
      <w:r>
        <w:t>Tribunal cantonal TC Page 9 de 9 3.2. En l’espèce, A.________ obtient certes gain de cause; compte tenu du motif de l’admission du recours, du fait qu’il s’agit d’un litige du droit de la famille, la Cour n’entend pas condamner la mère à la prise en charge de dépens ou de frais de justice. Ces derniers seront dès lors supportés par l’Etat et fixés à CHF 400.-. L’intervention de l’avocat d’office de A.________ sera rémunérée par le biais d’une indemnité fixée à CHF 1'200.- (débours compris), TVA (7.7%) en sus par CHF 92.40. Vu l’admission du recours, A.________ ne sera pas tenu de rembourser ce montant. la Cour arrête: I. Le recours est admis. Partant, le chiffre I de la décision de la Justice de paix de l’arrondissement de la Broye du</w:t>
      </w:r>
    </w:p>
    <w:p>
      <w:r>
        <w:rPr>
          <w:b/>
        </w:rPr>
        <w:t>E. 7</w:t>
      </w:r>
    </w:p>
    <w:p>
      <w:r>
        <w:t>juin 2011 consid. 3.1.4 et références citées; également TC FR 101 2016 308 du 10 octobre 2016 consid. 5d). Ainsi, le curateur ne peut décider lui-même de la réglementation du droit de visite ou de sa modification, pas plus que de sa suspension à titre provisoire; cette compétence appartient au juge matrimonial ou à l’autorité de protection compétente sur le fond (MEIER/STETTLER, n. 793, p. 527 s). Le curateur informera l’autorité des circonstances nouvelles nécessitant une modification de la réglementation initiale. Il pourra – si ce point n’a pas été expressément fixé – organiser les modalités pratiques du droit de visite (fixation d’un calendrier, arrangements liés aux vacances, lieu et moment de l’accueil de l’enfant, garde-robe à fournir à l’enfant, rattrapage des jours tombés ou modifications mineures des horaires fixés en fonction des circonstances du cas; MEIER/STETTLER, n. 1287, p. 844).</w:t>
      </w:r>
    </w:p>
    <w:p>
      <w:r>
        <w:rPr>
          <w:b/>
        </w:rPr>
        <w:t>E. 11</w:t>
      </w:r>
    </w:p>
    <w:p>
      <w:r>
        <w:t>juin 2018 est annulé. La cause lui est renvoyée pour nouvelle décision au sens des considérants. II. Les frais judiciaires, fixés forfaitairement à CHF 400.-, sont laissés à la charge de l’Etat. Il n’est pas alloué de dépens. III. L’indemnité équitable due à Me Elias Moussa pour la défense d’office de A.________ en procédure de recours est fixée à CHF 1'292.40, TVA par CHF 92.40 incluse. A.________ n’est pas tenu de rembourser ce montant à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novembre 2018/isc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