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61 vom 20. September 2018</w:t>
      </w:r>
    </w:p>
    <w:p>
      <w:r>
        <w:t>FR Kantonsgericht, 2018-09-20, FR</w:t>
      </w:r>
    </w:p>
    <w:p>
      <w:r>
        <w:rPr>
          <w:b/>
        </w:rPr>
        <w:t xml:space="preserve">Quelle: </w:t>
      </w:r>
      <w:r>
        <w:t>https://mcp.opencaselaw.ch/entscheid/fr_gerichte_106_2018_61</w:t>
      </w:r>
    </w:p>
    <w:p>
      <w:r>
        <w:t>FR: FR_GERICHTE 106 2018 61 du 20 septembre 2018</w:t>
      </w:r>
    </w:p>
    <w:p>
      <w:r>
        <w:t>IT: FR_GERICHTE 106 2018 61 del 20 settembre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3</w:t>
      </w:r>
    </w:p>
    <w:p>
      <w:r>
        <w:t>Compte tenu des circonstances et de la situation personnelle des recourants, la Cour, par application analogique de l’art. 30 RJ, renonce à percevoir des frais judiciaires. Il n’est pas alloué de dépens. la Cour arrête: I. Le recours est rejeté. Partant, la décision de la Justice de paix de l’arrondissement de la Gruyère du 15 mai 2018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